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2323" w:rsidP="001E23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SITHGAM014 Manage gaming activities</w:t>
      </w:r>
      <w:r>
        <w:fldChar w:fldCharType="end"/>
      </w:r>
    </w:p>
    <w:p w:rsidR="001E2323" w:rsidP="001E2323">
      <w:pPr>
        <w:pStyle w:val="Version"/>
        <w:sectPr w:rsidSect="00435B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5B65" w:rsidP="00435B65">
      <w:pPr>
        <w:pStyle w:val="SuperHeading"/>
      </w:pPr>
      <w:r w:rsidRPr="00435B65">
        <w:t>Assessment Requirements for SITHGAM014 Manage gaming activities</w:t>
      </w:r>
    </w:p>
    <w:p w:rsidR="00000000" w:rsidRPr="00435B65" w:rsidP="00435B65">
      <w:pPr>
        <w:pStyle w:val="Heading1"/>
      </w:pPr>
      <w:bookmarkStart w:id="1" w:name="O_763029"/>
      <w:bookmarkEnd w:id="1"/>
      <w:r w:rsidRPr="00435B65">
        <w:t>Modification History</w:t>
      </w:r>
    </w:p>
    <w:p w:rsidR="00000000" w:rsidRPr="00435B65" w:rsidP="001E2323">
      <w:pPr>
        <w:pStyle w:val="BodyText"/>
      </w:pPr>
      <w:r w:rsidRPr="00435B65">
        <w:t>Not applicable.</w:t>
      </w:r>
    </w:p>
    <w:p w:rsidR="00000000" w:rsidRPr="00435B65" w:rsidP="00435B65">
      <w:pPr>
        <w:pStyle w:val="Heading1"/>
      </w:pPr>
      <w:bookmarkStart w:id="2" w:name="O_763030"/>
      <w:bookmarkEnd w:id="2"/>
      <w:r w:rsidRPr="00435B65">
        <w:t>Performance Evidence</w:t>
      </w:r>
    </w:p>
    <w:p w:rsidR="00000000" w:rsidRPr="00435B65" w:rsidP="001E2323">
      <w:pPr>
        <w:pStyle w:val="BodyText"/>
      </w:pPr>
      <w:r w:rsidRPr="00435B65">
        <w:t>Evidence of the ability to complete tasks outlined</w:t>
      </w:r>
      <w:r w:rsidRPr="00435B65">
        <w:t xml:space="preserve"> in elements and performance criteria of this unit in the context of the job role, and:</w:t>
      </w:r>
    </w:p>
    <w:p w:rsidR="00000000" w:rsidRPr="00435B65" w:rsidP="00435B65">
      <w:pPr>
        <w:pStyle w:val="ListBullet"/>
      </w:pPr>
      <w:r w:rsidRPr="00435B65">
        <w:t xml:space="preserve">research and develop a plan for a gaming venue, featuring at least three of the gaming activities listed in the knowledge evidence and taking into account: </w:t>
      </w:r>
    </w:p>
    <w:p w:rsidR="00000000" w:rsidRPr="00435B65" w:rsidP="00435B65">
      <w:pPr>
        <w:pStyle w:val="ListBullet2"/>
      </w:pPr>
      <w:r w:rsidRPr="00435B65">
        <w:t xml:space="preserve">customer </w:t>
      </w:r>
      <w:r w:rsidRPr="00435B65">
        <w:t>needs and business objectives</w:t>
      </w:r>
    </w:p>
    <w:p w:rsidR="00000000" w:rsidRPr="00435B65" w:rsidP="00435B65">
      <w:pPr>
        <w:pStyle w:val="ListBullet2"/>
      </w:pPr>
      <w:r w:rsidRPr="00435B65">
        <w:t>available products and technologies</w:t>
      </w:r>
    </w:p>
    <w:p w:rsidR="00000000" w:rsidRPr="00435B65" w:rsidP="00435B65">
      <w:pPr>
        <w:pStyle w:val="ListBullet2"/>
      </w:pPr>
      <w:r w:rsidRPr="00435B65">
        <w:t>promotional strategies</w:t>
      </w:r>
    </w:p>
    <w:p w:rsidR="00000000" w:rsidRPr="00435B65" w:rsidP="00435B65">
      <w:pPr>
        <w:pStyle w:val="ListBullet2"/>
      </w:pPr>
      <w:r w:rsidRPr="00435B65">
        <w:t>compliance with gaming legislation and regulation, and work health and safety requirements</w:t>
      </w:r>
    </w:p>
    <w:p w:rsidR="00000000" w:rsidRPr="00435B65" w:rsidP="00435B65">
      <w:pPr>
        <w:pStyle w:val="ListBullet2"/>
      </w:pPr>
      <w:r w:rsidRPr="00435B65">
        <w:t>venue design and layout (where venue is a physical amenity)</w:t>
      </w:r>
    </w:p>
    <w:p w:rsidR="00000000" w:rsidRPr="00435B65" w:rsidP="00435B65">
      <w:pPr>
        <w:pStyle w:val="ListBullet2"/>
      </w:pPr>
      <w:r w:rsidRPr="00435B65">
        <w:t>organisational p</w:t>
      </w:r>
      <w:r w:rsidRPr="00435B65">
        <w:t>olicies and procedures</w:t>
      </w:r>
    </w:p>
    <w:p w:rsidR="00000000" w:rsidRPr="00435B65" w:rsidP="00435B65">
      <w:pPr>
        <w:pStyle w:val="ListBullet2"/>
      </w:pPr>
      <w:r w:rsidRPr="00435B65">
        <w:t>resource requirements including staffing</w:t>
      </w:r>
    </w:p>
    <w:p w:rsidR="00000000" w:rsidRPr="00435B65" w:rsidP="00435B65">
      <w:pPr>
        <w:pStyle w:val="ListBullet2"/>
      </w:pPr>
      <w:r w:rsidRPr="00435B65">
        <w:t>security policies and procedures</w:t>
      </w:r>
    </w:p>
    <w:p w:rsidR="00000000" w:rsidRPr="00435B65" w:rsidP="00435B65">
      <w:pPr>
        <w:pStyle w:val="ListBullet2"/>
      </w:pPr>
      <w:r w:rsidRPr="00435B65">
        <w:t xml:space="preserve">reporting processes and procedures. </w:t>
      </w:r>
    </w:p>
    <w:p w:rsidR="00000000" w:rsidRPr="00435B65" w:rsidP="00435B65">
      <w:pPr>
        <w:pStyle w:val="AllowPageBreak"/>
      </w:pPr>
    </w:p>
    <w:p w:rsidR="00000000" w:rsidRPr="00435B65" w:rsidP="00435B65">
      <w:pPr>
        <w:pStyle w:val="Heading1"/>
      </w:pPr>
      <w:bookmarkStart w:id="3" w:name="O_763031"/>
      <w:bookmarkEnd w:id="3"/>
      <w:r w:rsidRPr="00435B65">
        <w:t>Knowledge Evidence</w:t>
      </w:r>
    </w:p>
    <w:p w:rsidR="00000000" w:rsidRPr="00435B65" w:rsidP="001E2323">
      <w:pPr>
        <w:pStyle w:val="BodyText"/>
      </w:pPr>
      <w:r w:rsidRPr="00435B65">
        <w:t>Demonstrated knowledge required to complete the tasks outlined in elements and perfo</w:t>
      </w:r>
      <w:r w:rsidRPr="00435B65">
        <w:t>rmance criteria of this unit:</w:t>
      </w:r>
    </w:p>
    <w:p w:rsidR="00000000" w:rsidRPr="00435B65" w:rsidP="00435B65">
      <w:pPr>
        <w:pStyle w:val="ListBullet"/>
      </w:pPr>
      <w:r w:rsidRPr="00435B65">
        <w:t>current gaming environment, trends and market in which the gaming organisation operates</w:t>
      </w:r>
    </w:p>
    <w:p w:rsidR="00000000" w:rsidRPr="00435B65" w:rsidP="00435B65">
      <w:pPr>
        <w:pStyle w:val="ListBullet"/>
      </w:pPr>
      <w:r w:rsidRPr="00435B65">
        <w:t>factors to consider when determining a business or customer’s needs with regard to a gaming venue:</w:t>
      </w:r>
    </w:p>
    <w:p w:rsidR="00000000" w:rsidRPr="00435B65" w:rsidP="00435B65">
      <w:pPr>
        <w:pStyle w:val="ListBullet2"/>
      </w:pPr>
      <w:r w:rsidRPr="00435B65">
        <w:t>budget</w:t>
      </w:r>
    </w:p>
    <w:p w:rsidR="00000000" w:rsidRPr="00435B65" w:rsidP="00435B65">
      <w:pPr>
        <w:pStyle w:val="ListBullet2"/>
      </w:pPr>
      <w:r w:rsidRPr="00435B65">
        <w:t>demographics of potential cust</w:t>
      </w:r>
      <w:r w:rsidRPr="00435B65">
        <w:t>omers</w:t>
      </w:r>
    </w:p>
    <w:p w:rsidR="00000000" w:rsidRPr="00435B65" w:rsidP="00435B65">
      <w:pPr>
        <w:pStyle w:val="ListBullet2"/>
      </w:pPr>
      <w:r w:rsidRPr="00435B65">
        <w:t>legislative requirements</w:t>
      </w:r>
    </w:p>
    <w:p w:rsidR="00000000" w:rsidRPr="00435B65" w:rsidP="00435B65">
      <w:pPr>
        <w:pStyle w:val="ListBullet2"/>
      </w:pPr>
      <w:r w:rsidRPr="00435B65">
        <w:t>player loyalty</w:t>
      </w:r>
    </w:p>
    <w:p w:rsidR="00000000" w:rsidRPr="00435B65" w:rsidP="00435B65">
      <w:pPr>
        <w:pStyle w:val="ListBullet2"/>
      </w:pPr>
      <w:r w:rsidRPr="00435B65">
        <w:t>responsible gaming</w:t>
      </w:r>
    </w:p>
    <w:p w:rsidR="00000000" w:rsidRPr="00435B65" w:rsidP="00435B65">
      <w:pPr>
        <w:pStyle w:val="ListBullet2"/>
      </w:pPr>
      <w:r w:rsidRPr="00435B65">
        <w:t>themes</w:t>
      </w:r>
    </w:p>
    <w:p w:rsidR="00000000" w:rsidRPr="00435B65" w:rsidP="00435B65">
      <w:pPr>
        <w:pStyle w:val="ListBullet"/>
      </w:pPr>
      <w:r w:rsidRPr="00435B65">
        <w:t>variety of gaming systems:</w:t>
      </w:r>
    </w:p>
    <w:p w:rsidR="00000000" w:rsidRPr="00435B65" w:rsidP="00435B65">
      <w:pPr>
        <w:pStyle w:val="ListBullet2"/>
      </w:pPr>
      <w:r w:rsidRPr="00435B65">
        <w:t>cashcades</w:t>
      </w:r>
    </w:p>
    <w:p w:rsidR="00000000" w:rsidRPr="00435B65" w:rsidP="00435B65">
      <w:pPr>
        <w:pStyle w:val="ListBullet2"/>
      </w:pPr>
      <w:r w:rsidRPr="00435B65">
        <w:t>central monitoring</w:t>
      </w:r>
    </w:p>
    <w:p w:rsidR="00000000" w:rsidRPr="00435B65" w:rsidP="00435B65">
      <w:pPr>
        <w:pStyle w:val="ListBullet2"/>
      </w:pPr>
      <w:r w:rsidRPr="00435B65">
        <w:t>communication</w:t>
      </w:r>
    </w:p>
    <w:p w:rsidR="00000000" w:rsidRPr="00435B65" w:rsidP="00435B65">
      <w:pPr>
        <w:pStyle w:val="ListBullet2"/>
      </w:pPr>
      <w:r w:rsidRPr="00435B65">
        <w:t>data retrieval and promotion systems</w:t>
      </w:r>
    </w:p>
    <w:p w:rsidR="00000000" w:rsidRPr="00435B65" w:rsidP="00435B65">
      <w:pPr>
        <w:pStyle w:val="ListBullet2"/>
      </w:pPr>
      <w:r w:rsidRPr="00435B65">
        <w:t xml:space="preserve">linked progressive jackpot systems: </w:t>
      </w:r>
    </w:p>
    <w:p w:rsidR="00000000" w:rsidRPr="00435B65" w:rsidP="00435B65">
      <w:pPr>
        <w:pStyle w:val="ListBullet3"/>
      </w:pPr>
      <w:r w:rsidRPr="00435B65">
        <w:t xml:space="preserve">random jackpots </w:t>
      </w:r>
    </w:p>
    <w:p w:rsidR="00000000" w:rsidRPr="00435B65" w:rsidP="00435B65">
      <w:pPr>
        <w:pStyle w:val="ListBullet3"/>
      </w:pPr>
      <w:r w:rsidRPr="00435B65">
        <w:t>combination specific jackpots</w:t>
      </w:r>
    </w:p>
    <w:p w:rsidR="00000000" w:rsidRPr="00435B65" w:rsidP="00435B65">
      <w:pPr>
        <w:pStyle w:val="ListBullet2"/>
      </w:pPr>
      <w:r w:rsidRPr="00435B65">
        <w:t>membership reward systems</w:t>
      </w:r>
    </w:p>
    <w:p w:rsidR="00000000" w:rsidRPr="00435B65" w:rsidP="00435B65">
      <w:pPr>
        <w:pStyle w:val="ListBullet"/>
      </w:pPr>
      <w:r w:rsidRPr="00435B65">
        <w:t>gaming activities:</w:t>
      </w:r>
    </w:p>
    <w:p w:rsidR="00000000" w:rsidRPr="00435B65" w:rsidP="00435B65">
      <w:pPr>
        <w:pStyle w:val="ListBullet2"/>
      </w:pPr>
      <w:r w:rsidRPr="00435B65">
        <w:t>electronic gaming machines</w:t>
      </w:r>
    </w:p>
    <w:p w:rsidR="00000000" w:rsidRPr="00435B65" w:rsidP="00435B65">
      <w:pPr>
        <w:pStyle w:val="ListBullet2"/>
      </w:pPr>
      <w:r w:rsidRPr="00435B65">
        <w:t>internet gaming</w:t>
      </w:r>
    </w:p>
    <w:p w:rsidR="00000000" w:rsidRPr="00435B65" w:rsidP="00435B65">
      <w:pPr>
        <w:pStyle w:val="ListBullet2"/>
      </w:pPr>
      <w:r w:rsidRPr="00435B65">
        <w:t>Keno</w:t>
      </w:r>
    </w:p>
    <w:p w:rsidR="00000000" w:rsidRPr="00435B65" w:rsidP="00435B65">
      <w:pPr>
        <w:pStyle w:val="ListBullet2"/>
      </w:pPr>
      <w:r w:rsidRPr="00435B65">
        <w:t>linked progressive jackpot systems</w:t>
      </w:r>
    </w:p>
    <w:p w:rsidR="00000000" w:rsidRPr="00435B65" w:rsidP="00435B65">
      <w:pPr>
        <w:pStyle w:val="ListBullet2"/>
      </w:pPr>
      <w:r w:rsidRPr="00435B65">
        <w:t>multi-terminal gaming machines (MTGMs)</w:t>
      </w:r>
    </w:p>
    <w:p w:rsidR="00000000" w:rsidRPr="00435B65" w:rsidP="00435B65">
      <w:pPr>
        <w:pStyle w:val="ListBullet2"/>
      </w:pPr>
      <w:r w:rsidRPr="00435B65">
        <w:t>sports betting</w:t>
      </w:r>
    </w:p>
    <w:p w:rsidR="00000000" w:rsidRPr="00435B65" w:rsidP="00435B65">
      <w:pPr>
        <w:pStyle w:val="ListBullet2"/>
      </w:pPr>
      <w:r w:rsidRPr="00435B65">
        <w:t>Totalisator Agency Board (TAB)</w:t>
      </w:r>
    </w:p>
    <w:p w:rsidR="00000000" w:rsidRPr="00435B65" w:rsidP="00435B65">
      <w:pPr>
        <w:pStyle w:val="ListBullet"/>
      </w:pPr>
      <w:r w:rsidRPr="00435B65">
        <w:t>factors to consider when designing a gaming facility:</w:t>
      </w:r>
    </w:p>
    <w:p w:rsidR="00000000" w:rsidRPr="00435B65" w:rsidP="00435B65">
      <w:pPr>
        <w:pStyle w:val="ListBullet2"/>
      </w:pPr>
      <w:r w:rsidRPr="00435B65">
        <w:t>customer considerations:</w:t>
      </w:r>
    </w:p>
    <w:p w:rsidR="00000000" w:rsidRPr="00435B65" w:rsidP="00435B65">
      <w:pPr>
        <w:pStyle w:val="ListBullet3"/>
      </w:pPr>
      <w:r w:rsidRPr="00435B65">
        <w:t>accessibility</w:t>
      </w:r>
    </w:p>
    <w:p w:rsidR="00000000" w:rsidRPr="00435B65" w:rsidP="00435B65">
      <w:pPr>
        <w:pStyle w:val="ListBullet3"/>
      </w:pPr>
      <w:r w:rsidRPr="00435B65">
        <w:t>gaming preferences</w:t>
      </w:r>
    </w:p>
    <w:p w:rsidR="00000000" w:rsidRPr="00435B65" w:rsidP="00435B65">
      <w:pPr>
        <w:pStyle w:val="ListBullet3"/>
      </w:pPr>
      <w:r w:rsidRPr="00435B65">
        <w:t>player comfort</w:t>
      </w:r>
    </w:p>
    <w:p w:rsidR="00000000" w:rsidRPr="00435B65" w:rsidP="00435B65">
      <w:pPr>
        <w:pStyle w:val="ListBullet3"/>
      </w:pPr>
      <w:r w:rsidRPr="00435B65">
        <w:t>decor</w:t>
      </w:r>
    </w:p>
    <w:p w:rsidR="00000000" w:rsidRPr="00435B65" w:rsidP="00435B65">
      <w:pPr>
        <w:pStyle w:val="ListBullet3"/>
      </w:pPr>
      <w:r w:rsidRPr="00435B65">
        <w:t>furniture, equipment and fittings</w:t>
      </w:r>
    </w:p>
    <w:p w:rsidR="00000000" w:rsidRPr="00435B65" w:rsidP="00435B65">
      <w:pPr>
        <w:pStyle w:val="ListBullet3"/>
      </w:pPr>
      <w:r w:rsidRPr="00435B65">
        <w:t>legislative requirements</w:t>
      </w:r>
    </w:p>
    <w:p w:rsidR="00000000" w:rsidRPr="00435B65" w:rsidP="00435B65">
      <w:pPr>
        <w:pStyle w:val="ListBullet3"/>
      </w:pPr>
      <w:r w:rsidRPr="00435B65">
        <w:t>noise levels</w:t>
      </w:r>
    </w:p>
    <w:p w:rsidR="00000000" w:rsidRPr="00435B65" w:rsidP="00435B65">
      <w:pPr>
        <w:pStyle w:val="ListBullet3"/>
      </w:pPr>
      <w:r w:rsidRPr="00435B65">
        <w:t>theming</w:t>
      </w:r>
    </w:p>
    <w:p w:rsidR="00000000" w:rsidRPr="00435B65" w:rsidP="00435B65">
      <w:pPr>
        <w:pStyle w:val="ListBullet3"/>
      </w:pPr>
      <w:r w:rsidRPr="00435B65">
        <w:t>traffic and work flow</w:t>
      </w:r>
    </w:p>
    <w:p w:rsidR="00000000" w:rsidRPr="00435B65" w:rsidP="00435B65">
      <w:pPr>
        <w:pStyle w:val="ListBullet"/>
      </w:pPr>
      <w:r w:rsidRPr="00435B65">
        <w:t>information and signage on gaming activities and responsible gambling:</w:t>
      </w:r>
    </w:p>
    <w:p w:rsidR="00000000" w:rsidRPr="00435B65" w:rsidP="00435B65">
      <w:pPr>
        <w:pStyle w:val="ListBullet2"/>
      </w:pPr>
      <w:r w:rsidRPr="00435B65">
        <w:t>available games and game rules</w:t>
      </w:r>
    </w:p>
    <w:p w:rsidR="00000000" w:rsidRPr="00435B65" w:rsidP="00435B65">
      <w:pPr>
        <w:pStyle w:val="ListBullet2"/>
      </w:pPr>
      <w:r w:rsidRPr="00435B65">
        <w:t>available problem gambling support services</w:t>
      </w:r>
    </w:p>
    <w:p w:rsidR="00000000" w:rsidRPr="00435B65" w:rsidP="00435B65">
      <w:pPr>
        <w:pStyle w:val="ListBullet2"/>
      </w:pPr>
      <w:r w:rsidRPr="00435B65">
        <w:t>complaints resolution processes</w:t>
      </w:r>
    </w:p>
    <w:p w:rsidR="00000000" w:rsidRPr="00435B65" w:rsidP="00435B65">
      <w:pPr>
        <w:pStyle w:val="ListBullet2"/>
      </w:pPr>
      <w:r w:rsidRPr="00435B65">
        <w:t>self-exclusion and exclusion provisions</w:t>
      </w:r>
    </w:p>
    <w:p w:rsidR="00000000" w:rsidRPr="00435B65" w:rsidP="00435B65">
      <w:pPr>
        <w:pStyle w:val="ListBullet2"/>
      </w:pPr>
      <w:r w:rsidRPr="00435B65">
        <w:t>hours of gambling services</w:t>
      </w:r>
    </w:p>
    <w:p w:rsidR="00000000" w:rsidRPr="00435B65" w:rsidP="00435B65">
      <w:pPr>
        <w:pStyle w:val="ListBullet2"/>
      </w:pPr>
      <w:r w:rsidRPr="00435B65">
        <w:t xml:space="preserve">policy and mission statement on responsible gambling </w:t>
      </w:r>
    </w:p>
    <w:p w:rsidR="00000000" w:rsidRPr="00435B65" w:rsidP="00435B65">
      <w:pPr>
        <w:pStyle w:val="ListBullet2"/>
      </w:pPr>
      <w:r w:rsidRPr="00435B65">
        <w:t>information on odds, win rates or return rates to player</w:t>
      </w:r>
    </w:p>
    <w:p w:rsidR="00000000" w:rsidRPr="00435B65" w:rsidP="00435B65">
      <w:pPr>
        <w:pStyle w:val="ListBullet2"/>
      </w:pPr>
      <w:r w:rsidRPr="00435B65">
        <w:t>venue code of conduct</w:t>
      </w:r>
    </w:p>
    <w:p w:rsidR="00000000" w:rsidRPr="00435B65" w:rsidP="00435B65">
      <w:pPr>
        <w:pStyle w:val="ListBullet"/>
      </w:pPr>
      <w:r w:rsidRPr="00435B65">
        <w:t>common promotional activities for gaming venues:</w:t>
      </w:r>
    </w:p>
    <w:p w:rsidR="00000000" w:rsidRPr="00435B65" w:rsidP="00435B65">
      <w:pPr>
        <w:pStyle w:val="ListBullet2"/>
      </w:pPr>
      <w:r w:rsidRPr="00435B65">
        <w:t>cross-promotional activities with other operational areas</w:t>
      </w:r>
    </w:p>
    <w:p w:rsidR="00000000" w:rsidRPr="00435B65" w:rsidP="00435B65">
      <w:pPr>
        <w:pStyle w:val="ListBullet2"/>
      </w:pPr>
      <w:r w:rsidRPr="00435B65">
        <w:t xml:space="preserve">member reward </w:t>
      </w:r>
      <w:r w:rsidRPr="00435B65">
        <w:t>systems</w:t>
      </w:r>
    </w:p>
    <w:p w:rsidR="00000000" w:rsidRPr="00435B65" w:rsidP="00435B65">
      <w:pPr>
        <w:pStyle w:val="ListBullet2"/>
      </w:pPr>
      <w:r w:rsidRPr="00435B65">
        <w:t>player reward systems</w:t>
      </w:r>
    </w:p>
    <w:p w:rsidR="00000000" w:rsidRPr="00435B65" w:rsidP="00435B65">
      <w:pPr>
        <w:pStyle w:val="ListBullet2"/>
      </w:pPr>
      <w:r w:rsidRPr="00435B65">
        <w:t>promotional events</w:t>
      </w:r>
    </w:p>
    <w:p w:rsidR="00000000" w:rsidRPr="00435B65" w:rsidP="00435B65">
      <w:pPr>
        <w:pStyle w:val="ListBullet"/>
      </w:pPr>
      <w:r w:rsidRPr="00435B65">
        <w:t>sources of information for, and key features of, current gaming products, technology and systems</w:t>
      </w:r>
    </w:p>
    <w:p w:rsidR="00000000" w:rsidRPr="00435B65" w:rsidP="00435B65">
      <w:pPr>
        <w:pStyle w:val="ListBullet"/>
      </w:pPr>
      <w:r w:rsidRPr="00435B65">
        <w:t>gaming psychology in relation to developing, promoting and managing gaming activities</w:t>
      </w:r>
    </w:p>
    <w:p w:rsidR="00000000" w:rsidRPr="00435B65" w:rsidP="00435B65">
      <w:pPr>
        <w:pStyle w:val="ListBullet"/>
      </w:pPr>
      <w:r w:rsidRPr="00435B65">
        <w:t xml:space="preserve">duty of care ethics of </w:t>
      </w:r>
      <w:r w:rsidRPr="00435B65">
        <w:t>gaming related to the operation of a gaming venue</w:t>
      </w:r>
    </w:p>
    <w:p w:rsidR="00000000" w:rsidRPr="00435B65" w:rsidP="00435B65">
      <w:pPr>
        <w:pStyle w:val="ListBullet"/>
      </w:pPr>
      <w:r w:rsidRPr="00435B65">
        <w:t>typical gaming reporting formats and procedures</w:t>
      </w:r>
    </w:p>
    <w:p w:rsidR="00000000" w:rsidRPr="00435B65" w:rsidP="00435B65">
      <w:pPr>
        <w:pStyle w:val="ListBullet"/>
      </w:pPr>
      <w:r w:rsidRPr="00435B65">
        <w:t>gaming and probability theory as it relates to the operation of a gaming venue</w:t>
      </w:r>
    </w:p>
    <w:p w:rsidR="00000000" w:rsidRPr="00435B65" w:rsidP="00435B65">
      <w:pPr>
        <w:pStyle w:val="ListBullet"/>
      </w:pPr>
      <w:r w:rsidRPr="00435B65">
        <w:t>purpose and requirements of:</w:t>
      </w:r>
    </w:p>
    <w:p w:rsidR="00000000" w:rsidRPr="00435B65" w:rsidP="00435B65">
      <w:pPr>
        <w:pStyle w:val="ListBullet2"/>
      </w:pPr>
      <w:r w:rsidRPr="00435B65">
        <w:t>current federal, and state or territory legislation, regulations and compliance requirements relating to gaming</w:t>
      </w:r>
    </w:p>
    <w:p w:rsidR="00000000" w:rsidRPr="00435B65" w:rsidP="00435B65">
      <w:pPr>
        <w:pStyle w:val="ListBullet2"/>
      </w:pPr>
      <w:r w:rsidRPr="00435B65">
        <w:t>relevant codes of conduct in relation to gaming, betting and responsible conduct of gambling</w:t>
      </w:r>
    </w:p>
    <w:p w:rsidR="00000000" w:rsidRPr="00435B65" w:rsidP="00435B65">
      <w:pPr>
        <w:pStyle w:val="ListBullet"/>
      </w:pPr>
      <w:r w:rsidRPr="00435B65">
        <w:t>roles and requirements of other authorities in rel</w:t>
      </w:r>
      <w:r w:rsidRPr="00435B65">
        <w:t>ation to gaming</w:t>
      </w:r>
    </w:p>
    <w:p w:rsidR="00000000" w:rsidRPr="00435B65" w:rsidP="00435B65">
      <w:pPr>
        <w:pStyle w:val="ListBullet"/>
      </w:pPr>
      <w:r w:rsidRPr="00435B65">
        <w:t>security policies and procedures relevant to gaming activities:</w:t>
      </w:r>
    </w:p>
    <w:p w:rsidR="00000000" w:rsidRPr="00435B65" w:rsidP="00435B65">
      <w:pPr>
        <w:pStyle w:val="ListBullet2"/>
      </w:pPr>
      <w:r w:rsidRPr="00435B65">
        <w:t>cash control</w:t>
      </w:r>
    </w:p>
    <w:p w:rsidR="00000000" w:rsidRPr="00435B65" w:rsidP="00435B65">
      <w:pPr>
        <w:pStyle w:val="ListBullet2"/>
      </w:pPr>
      <w:r w:rsidRPr="00435B65">
        <w:t>closed-circuit television monitoring</w:t>
      </w:r>
    </w:p>
    <w:p w:rsidR="00000000" w:rsidRPr="00435B65" w:rsidP="00435B65">
      <w:pPr>
        <w:pStyle w:val="ListBullet2"/>
      </w:pPr>
      <w:r w:rsidRPr="00435B65">
        <w:t>investigating discrepancies in reports and accounts</w:t>
      </w:r>
    </w:p>
    <w:p w:rsidR="00000000" w:rsidRPr="00435B65" w:rsidP="00435B65">
      <w:pPr>
        <w:pStyle w:val="ListBullet2"/>
      </w:pPr>
      <w:r w:rsidRPr="00435B65">
        <w:t>key access and control systems</w:t>
      </w:r>
    </w:p>
    <w:p w:rsidR="00000000" w:rsidRPr="00435B65" w:rsidP="00435B65">
      <w:pPr>
        <w:pStyle w:val="ListBullet2"/>
      </w:pPr>
      <w:r w:rsidRPr="00435B65">
        <w:t>security clearance procedures, security ch</w:t>
      </w:r>
      <w:r w:rsidRPr="00435B65">
        <w:t>ecks of staff and players</w:t>
      </w:r>
    </w:p>
    <w:p w:rsidR="00000000" w:rsidRPr="00435B65" w:rsidP="00435B65">
      <w:pPr>
        <w:pStyle w:val="ListBullet2"/>
      </w:pPr>
      <w:r w:rsidRPr="00435B65">
        <w:t>specialist security activities</w:t>
      </w:r>
    </w:p>
    <w:p w:rsidR="00000000" w:rsidRPr="00435B65" w:rsidP="00435B65">
      <w:pPr>
        <w:pStyle w:val="ListBullet"/>
      </w:pPr>
      <w:r w:rsidRPr="00435B65">
        <w:t>taxation structures for gaming activities.</w:t>
      </w:r>
    </w:p>
    <w:p w:rsidR="00000000" w:rsidRPr="00435B65" w:rsidP="00435B65">
      <w:pPr>
        <w:pStyle w:val="AllowPageBreak"/>
      </w:pPr>
    </w:p>
    <w:p w:rsidR="00000000" w:rsidRPr="00435B65" w:rsidP="00435B65">
      <w:pPr>
        <w:pStyle w:val="Heading1"/>
      </w:pPr>
      <w:bookmarkStart w:id="4" w:name="O_763032"/>
      <w:bookmarkEnd w:id="4"/>
      <w:r w:rsidRPr="00435B65">
        <w:t>Assessment Conditions</w:t>
      </w:r>
    </w:p>
    <w:p w:rsidR="00000000" w:rsidRPr="00435B65" w:rsidP="001E2323">
      <w:pPr>
        <w:pStyle w:val="BodyText"/>
      </w:pPr>
      <w:r w:rsidRPr="00435B65">
        <w:t>Skills must be demonstrated in an operational gaming environment for which the individual can plan and develop gaming facilities, systems and promotional initiatives. This can be:</w:t>
      </w:r>
    </w:p>
    <w:p w:rsidR="00000000" w:rsidRPr="00435B65" w:rsidP="00435B65">
      <w:pPr>
        <w:pStyle w:val="ListBullet"/>
      </w:pPr>
      <w:r w:rsidRPr="00435B65">
        <w:t>an industry workplace</w:t>
      </w:r>
    </w:p>
    <w:p w:rsidR="00000000" w:rsidRPr="00435B65" w:rsidP="00435B65">
      <w:pPr>
        <w:pStyle w:val="ListBullet"/>
      </w:pPr>
      <w:r w:rsidRPr="00435B65">
        <w:t>a simulated industry environment.</w:t>
      </w:r>
    </w:p>
    <w:p w:rsidR="00000000" w:rsidRPr="00435B65" w:rsidP="00435B65">
      <w:pPr>
        <w:pStyle w:val="BodyText"/>
      </w:pPr>
    </w:p>
    <w:p w:rsidR="00000000" w:rsidRPr="00435B65" w:rsidP="001E2323">
      <w:pPr>
        <w:pStyle w:val="BodyText"/>
      </w:pPr>
      <w:r w:rsidRPr="00435B65">
        <w:t>Assessment must en</w:t>
      </w:r>
      <w:r w:rsidRPr="00435B65">
        <w:t>sure access to:</w:t>
      </w:r>
    </w:p>
    <w:p w:rsidR="00000000" w:rsidRPr="00435B65" w:rsidP="00435B65">
      <w:pPr>
        <w:pStyle w:val="ListBullet"/>
      </w:pPr>
      <w:r w:rsidRPr="00435B65">
        <w:t>a real or simulated gaming business with associated organisational budget for gaming activities</w:t>
      </w:r>
    </w:p>
    <w:p w:rsidR="00000000" w:rsidRPr="00435B65" w:rsidP="00435B65">
      <w:pPr>
        <w:pStyle w:val="ListBullet"/>
      </w:pPr>
      <w:r w:rsidRPr="00435B65">
        <w:t>physical and human resources required to establish a gaming venue</w:t>
      </w:r>
    </w:p>
    <w:p w:rsidR="00000000" w:rsidRPr="00435B65" w:rsidP="00435B65">
      <w:pPr>
        <w:pStyle w:val="ListBullet"/>
      </w:pPr>
      <w:r w:rsidRPr="00435B65">
        <w:t>suppliers and promoters of gaming products with whom the individual can inter</w:t>
      </w:r>
      <w:r w:rsidRPr="00435B65">
        <w:t>act; these can be:</w:t>
      </w:r>
    </w:p>
    <w:p w:rsidR="00000000" w:rsidRPr="00435B65" w:rsidP="00435B65">
      <w:pPr>
        <w:pStyle w:val="ListBullet2"/>
      </w:pPr>
      <w:r w:rsidRPr="00435B65">
        <w:t>in an industry workplace who are assisted by the individual during the assessment process; or</w:t>
      </w:r>
    </w:p>
    <w:p w:rsidR="00000000" w:rsidRPr="00435B65" w:rsidP="00435B65">
      <w:pPr>
        <w:pStyle w:val="ListBullet2"/>
      </w:pPr>
      <w:r w:rsidRPr="00435B65">
        <w:t>individuals who participate in role plays or simulated activities, set up for the purpose of assessment, in a simulated industry environment o</w:t>
      </w:r>
      <w:r w:rsidRPr="00435B65">
        <w:t>perated within a training organisation.</w:t>
      </w:r>
    </w:p>
    <w:p w:rsidR="00000000" w:rsidRPr="00435B65" w:rsidP="00435B65">
      <w:pPr>
        <w:pStyle w:val="BodyText"/>
      </w:pPr>
    </w:p>
    <w:p w:rsidR="00000000" w:rsidRPr="00435B65" w:rsidP="001E2323">
      <w:pPr>
        <w:pStyle w:val="BodyText"/>
      </w:pPr>
      <w:r w:rsidRPr="00435B65">
        <w:t>Assessors must satisfy the Standards for Registered Training Organisations’ requirements for assessors; and:</w:t>
      </w:r>
    </w:p>
    <w:p w:rsidR="00000000" w:rsidRPr="00435B65" w:rsidP="00435B65">
      <w:pPr>
        <w:pStyle w:val="ListBullet"/>
      </w:pPr>
      <w:r w:rsidRPr="00435B65">
        <w:t>have worked in industry for at least three years where they have applied the skills and knowledge of this</w:t>
      </w:r>
      <w:r w:rsidRPr="00435B65">
        <w:t xml:space="preserve"> unit of competency.</w:t>
      </w:r>
    </w:p>
    <w:p w:rsidR="00000000" w:rsidRPr="00435B65" w:rsidP="00435B65">
      <w:pPr>
        <w:pStyle w:val="AllowPageBreak"/>
      </w:pPr>
    </w:p>
    <w:p w:rsidR="00000000" w:rsidRPr="00435B65" w:rsidP="00435B65">
      <w:pPr>
        <w:pStyle w:val="Heading1"/>
      </w:pPr>
      <w:bookmarkStart w:id="5" w:name="O_763035"/>
      <w:bookmarkEnd w:id="5"/>
      <w:r w:rsidRPr="00435B65">
        <w:t>Links</w:t>
      </w:r>
    </w:p>
    <w:p w:rsidR="00000000" w:rsidRPr="00435B65" w:rsidP="001E2323">
      <w:pPr>
        <w:pStyle w:val="BodyText"/>
      </w:pPr>
      <w:r w:rsidRPr="00435B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50B2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35B65" w:rsidP="00435B65"/>
    <w:sectPr w:rsidSect="00435B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B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B65" w:rsidRPr="001E2323" w:rsidP="001E23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B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323" w:rsidP="00435B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2323" w:rsidP="00435B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E2323" w:rsidP="00435B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B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3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5B65" w:rsidRPr="001E2323" w:rsidP="001E23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B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323" w:rsidRPr="002D2AF8" w:rsidP="00435B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SITHGAM014 Manage gaming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1E2323" w:rsidP="00435B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6E53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F80E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BA87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B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5B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5B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5B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5B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5B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5B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5B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5B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5B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5B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5B65"/>
  </w:style>
  <w:style w:type="character" w:customStyle="1" w:styleId="Heading1Char">
    <w:name w:val="Heading 1 Char"/>
    <w:basedOn w:val="DefaultParagraphFont"/>
    <w:link w:val="Heading1"/>
    <w:rsid w:val="00435B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5B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5B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5B6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5B6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5B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5B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35B6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35B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5B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5B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5B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5B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5B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5B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5B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5B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5B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5B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5B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5B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5B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5B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5B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5B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5B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5B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5B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5B65"/>
    <w:rPr>
      <w:b/>
      <w:spacing w:val="0"/>
    </w:rPr>
  </w:style>
  <w:style w:type="paragraph" w:customStyle="1" w:styleId="SuperTitle">
    <w:name w:val="SuperTitle"/>
    <w:basedOn w:val="Title"/>
    <w:rsid w:val="00435B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5B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5B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5B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5B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5B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5B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5B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5B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5B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5B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5B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5B65"/>
    <w:rPr>
      <w:i/>
    </w:rPr>
  </w:style>
  <w:style w:type="paragraph" w:styleId="Caption">
    <w:name w:val="caption"/>
    <w:basedOn w:val="BodyText"/>
    <w:next w:val="Normal"/>
    <w:qFormat/>
    <w:rsid w:val="00435B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5B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5B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5B65"/>
  </w:style>
  <w:style w:type="paragraph" w:styleId="TableofFigures">
    <w:name w:val="table of figures"/>
    <w:basedOn w:val="Normal"/>
    <w:next w:val="Normal"/>
    <w:semiHidden/>
    <w:rsid w:val="00435B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5B6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35B65"/>
    <w:rPr>
      <w:rFonts w:ascii="Wingdings" w:hAnsi="Wingdings"/>
    </w:rPr>
  </w:style>
  <w:style w:type="paragraph" w:customStyle="1" w:styleId="TableHeading">
    <w:name w:val="Table Heading"/>
    <w:basedOn w:val="HeadingBase"/>
    <w:rsid w:val="00435B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5B65"/>
    <w:rPr>
      <w:color w:val="0033CC"/>
      <w:u w:val="none"/>
    </w:rPr>
  </w:style>
  <w:style w:type="paragraph" w:customStyle="1" w:styleId="BodyTextRight">
    <w:name w:val="Body Text Right"/>
    <w:basedOn w:val="BodyText"/>
    <w:rsid w:val="00435B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5B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5B6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5B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5B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5B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5B65"/>
    <w:rPr>
      <w:sz w:val="32"/>
    </w:rPr>
  </w:style>
  <w:style w:type="paragraph" w:customStyle="1" w:styleId="HeadingProcedure">
    <w:name w:val="Heading Procedure"/>
    <w:basedOn w:val="HeadingBase"/>
    <w:next w:val="Normal"/>
    <w:rsid w:val="00435B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5B65"/>
    <w:pPr>
      <w:spacing w:before="60" w:after="60"/>
    </w:pPr>
  </w:style>
  <w:style w:type="paragraph" w:styleId="ListContinue">
    <w:name w:val="List Continue"/>
    <w:basedOn w:val="List"/>
    <w:rsid w:val="00435B65"/>
    <w:pPr>
      <w:ind w:firstLine="0"/>
    </w:pPr>
  </w:style>
  <w:style w:type="paragraph" w:customStyle="1" w:styleId="ListNote">
    <w:name w:val="List Note"/>
    <w:basedOn w:val="List"/>
    <w:rsid w:val="00435B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5B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5B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5B65"/>
    <w:rPr>
      <w:rFonts w:ascii="Courier New" w:hAnsi="Courier New"/>
    </w:rPr>
  </w:style>
  <w:style w:type="paragraph" w:customStyle="1" w:styleId="NoteBullet">
    <w:name w:val="Note Bullet"/>
    <w:basedOn w:val="Note"/>
    <w:rsid w:val="00435B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5B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5B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5B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5B6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35B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5B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5B65"/>
    <w:rPr>
      <w:b/>
      <w:smallCaps/>
    </w:rPr>
  </w:style>
  <w:style w:type="paragraph" w:customStyle="1" w:styleId="TableListNumber">
    <w:name w:val="Table List Number"/>
    <w:basedOn w:val="ListNumber"/>
    <w:rsid w:val="00435B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5B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5B65"/>
    <w:pPr>
      <w:numPr>
        <w:numId w:val="10"/>
      </w:numPr>
    </w:pPr>
  </w:style>
  <w:style w:type="paragraph" w:customStyle="1" w:styleId="ListAlpha2">
    <w:name w:val="List Alpha 2"/>
    <w:basedOn w:val="List2"/>
    <w:rsid w:val="00435B65"/>
    <w:pPr>
      <w:numPr>
        <w:numId w:val="9"/>
      </w:numPr>
    </w:pPr>
  </w:style>
  <w:style w:type="paragraph" w:styleId="List2">
    <w:name w:val="List 2"/>
    <w:basedOn w:val="BodyText"/>
    <w:rsid w:val="00435B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5B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5B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5B6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35B6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35B65"/>
    <w:pPr>
      <w:numPr>
        <w:numId w:val="5"/>
      </w:numPr>
    </w:pPr>
  </w:style>
  <w:style w:type="paragraph" w:styleId="ListContinue2">
    <w:name w:val="List Continue 2"/>
    <w:basedOn w:val="List2"/>
    <w:rsid w:val="00435B65"/>
    <w:pPr>
      <w:ind w:firstLine="0"/>
    </w:pPr>
  </w:style>
  <w:style w:type="paragraph" w:styleId="ListContinue3">
    <w:name w:val="List Continue 3"/>
    <w:basedOn w:val="List3"/>
    <w:rsid w:val="00435B65"/>
    <w:pPr>
      <w:ind w:left="1021" w:firstLine="0"/>
    </w:pPr>
  </w:style>
  <w:style w:type="paragraph" w:styleId="ListContinue4">
    <w:name w:val="List Continue 4"/>
    <w:basedOn w:val="List4"/>
    <w:rsid w:val="00435B65"/>
    <w:pPr>
      <w:ind w:firstLine="0"/>
    </w:pPr>
  </w:style>
  <w:style w:type="paragraph" w:styleId="ListContinue5">
    <w:name w:val="List Continue 5"/>
    <w:basedOn w:val="List5"/>
    <w:rsid w:val="00435B65"/>
    <w:pPr>
      <w:ind w:firstLine="0"/>
    </w:pPr>
  </w:style>
  <w:style w:type="paragraph" w:styleId="ListNumber3">
    <w:name w:val="List Number 3"/>
    <w:basedOn w:val="List3"/>
    <w:rsid w:val="00435B65"/>
    <w:pPr>
      <w:numPr>
        <w:numId w:val="6"/>
      </w:numPr>
    </w:pPr>
  </w:style>
  <w:style w:type="paragraph" w:styleId="ListNumber4">
    <w:name w:val="List Number 4"/>
    <w:basedOn w:val="List4"/>
    <w:rsid w:val="00435B65"/>
    <w:pPr>
      <w:numPr>
        <w:numId w:val="7"/>
      </w:numPr>
    </w:pPr>
  </w:style>
  <w:style w:type="paragraph" w:styleId="ListNumber5">
    <w:name w:val="List Number 5"/>
    <w:basedOn w:val="List5"/>
    <w:rsid w:val="00435B65"/>
    <w:pPr>
      <w:numPr>
        <w:numId w:val="8"/>
      </w:numPr>
    </w:pPr>
  </w:style>
  <w:style w:type="paragraph" w:styleId="BlockText">
    <w:name w:val="Block Text"/>
    <w:basedOn w:val="Normal"/>
    <w:rsid w:val="00435B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5B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5B65"/>
    <w:rPr>
      <w:sz w:val="16"/>
      <w:vertAlign w:val="superscript"/>
    </w:rPr>
  </w:style>
  <w:style w:type="character" w:customStyle="1" w:styleId="Symbols">
    <w:name w:val="Symbols"/>
    <w:basedOn w:val="DefaultParagraphFont"/>
    <w:rsid w:val="00435B65"/>
    <w:rPr>
      <w:rFonts w:ascii="Symbol" w:hAnsi="Symbol"/>
    </w:rPr>
  </w:style>
  <w:style w:type="character" w:customStyle="1" w:styleId="MenuOptions">
    <w:name w:val="Menu Options"/>
    <w:basedOn w:val="DefaultParagraphFont"/>
    <w:rsid w:val="00435B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5B65"/>
    <w:rPr>
      <w:b/>
    </w:rPr>
  </w:style>
  <w:style w:type="character" w:customStyle="1" w:styleId="Underlined">
    <w:name w:val="Underlined"/>
    <w:basedOn w:val="DefaultParagraphFont"/>
    <w:rsid w:val="00435B65"/>
    <w:rPr>
      <w:u w:val="single"/>
    </w:rPr>
  </w:style>
  <w:style w:type="paragraph" w:customStyle="1" w:styleId="TableBodyTextRight">
    <w:name w:val="Table Body Text Right"/>
    <w:basedOn w:val="TableBodyText"/>
    <w:rsid w:val="00435B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5B65"/>
    <w:rPr>
      <w:sz w:val="18"/>
    </w:rPr>
  </w:style>
  <w:style w:type="paragraph" w:customStyle="1" w:styleId="BodySmallRight">
    <w:name w:val="Body Small Right"/>
    <w:basedOn w:val="BodyTextRight"/>
    <w:rsid w:val="00435B65"/>
    <w:rPr>
      <w:sz w:val="18"/>
      <w:szCs w:val="18"/>
    </w:rPr>
  </w:style>
  <w:style w:type="paragraph" w:customStyle="1" w:styleId="MarginEdition">
    <w:name w:val="Margin Edition"/>
    <w:basedOn w:val="MarginNote"/>
    <w:rsid w:val="00435B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5B65"/>
    <w:rPr>
      <w:sz w:val="2"/>
      <w:szCs w:val="2"/>
    </w:rPr>
  </w:style>
  <w:style w:type="character" w:customStyle="1" w:styleId="Small">
    <w:name w:val="Small"/>
    <w:basedOn w:val="DefaultParagraphFont"/>
    <w:rsid w:val="00435B65"/>
    <w:rPr>
      <w:sz w:val="16"/>
    </w:rPr>
  </w:style>
  <w:style w:type="paragraph" w:customStyle="1" w:styleId="WideTable">
    <w:name w:val="Wide Table"/>
    <w:basedOn w:val="Normal"/>
    <w:rsid w:val="00435B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5B65"/>
  </w:style>
  <w:style w:type="paragraph" w:styleId="Quote">
    <w:name w:val="Quote"/>
    <w:basedOn w:val="Heading1"/>
    <w:link w:val="QuoteChar"/>
    <w:qFormat/>
    <w:rsid w:val="00435B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5B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5B65"/>
    <w:pPr>
      <w:pageBreakBefore/>
    </w:pPr>
  </w:style>
  <w:style w:type="paragraph" w:customStyle="1" w:styleId="Border">
    <w:name w:val="Border"/>
    <w:basedOn w:val="Normal"/>
    <w:qFormat/>
    <w:rsid w:val="00435B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5B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B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B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5B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5B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5B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5B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5B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5B65"/>
    <w:rPr>
      <w:u w:val="single"/>
    </w:rPr>
  </w:style>
  <w:style w:type="character" w:customStyle="1" w:styleId="BoldandItalics">
    <w:name w:val="Bold and Italics"/>
    <w:qFormat/>
    <w:rsid w:val="00435B65"/>
    <w:rPr>
      <w:b/>
      <w:i/>
      <w:u w:val="none"/>
    </w:rPr>
  </w:style>
  <w:style w:type="paragraph" w:styleId="BalloonText">
    <w:name w:val="Balloon Text"/>
    <w:basedOn w:val="Normal"/>
    <w:link w:val="BalloonTextChar"/>
    <w:rsid w:val="00435B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5B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5B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5B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5B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5B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5B65"/>
    <w:pPr>
      <w:spacing w:before="0" w:after="0"/>
    </w:pPr>
  </w:style>
  <w:style w:type="paragraph" w:customStyle="1" w:styleId="BodyTextBold">
    <w:name w:val="Body Text Bold"/>
    <w:basedOn w:val="BodyText"/>
    <w:qFormat/>
    <w:rsid w:val="00435B65"/>
    <w:rPr>
      <w:b/>
    </w:rPr>
  </w:style>
  <w:style w:type="character" w:styleId="Hyperlink">
    <w:name w:val="Hyperlink"/>
    <w:basedOn w:val="DefaultParagraphFont"/>
    <w:uiPriority w:val="99"/>
    <w:unhideWhenUsed/>
    <w:rsid w:val="001E23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4272</Characters>
  <Application>Microsoft Office Word</Application>
  <DocSecurity>0</DocSecurity>
  <Lines>129</Lines>
  <Paragraphs>117</Paragraphs>
  <ScaleCrop>false</ScaleCrop>
  <Company>Author-it Software Corporation Ltd.</Company>
  <LinksUpToDate>false</LinksUpToDate>
  <CharactersWithSpaces>4801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SITHGAM014 Manage gaming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2022-04-08T07:45:00Z</dcterms:created>
  <dcterms:modified xsi:type="dcterms:W3CDTF">2022-04-08T07:45:00Z</dcterms:modified>
</cp:coreProperties>
</file>