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C59" w:rsidP="00780C59">
      <w:pPr>
        <w:pStyle w:val="Title"/>
      </w:pPr>
      <w:r>
        <w:fldChar w:fldCharType="begin"/>
      </w:r>
      <w:r>
        <w:instrText xml:space="preserve"> TITLE   \* MERGEFORMAT </w:instrText>
      </w:r>
      <w:r>
        <w:fldChar w:fldCharType="separate"/>
      </w:r>
      <w:r>
        <w:t>SITHGAM001 Provide responsible gambling services</w:t>
      </w:r>
      <w:r>
        <w:fldChar w:fldCharType="end"/>
      </w:r>
    </w:p>
    <w:p w:rsidR="00780C59" w:rsidP="00780C59">
      <w:pPr>
        <w:pStyle w:val="Version"/>
        <w:sectPr w:rsidSect="001701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176" w:rsidP="00170176">
      <w:pPr>
        <w:pStyle w:val="SuperHeading"/>
      </w:pPr>
      <w:r w:rsidRPr="00170176">
        <w:t>SITHGAM001 Provide responsible gambling services</w:t>
      </w:r>
    </w:p>
    <w:p w:rsidR="00000000" w:rsidRPr="00170176" w:rsidP="00170176">
      <w:pPr>
        <w:pStyle w:val="Heading1"/>
      </w:pPr>
      <w:bookmarkStart w:id="1" w:name="O_762772"/>
      <w:bookmarkEnd w:id="1"/>
      <w:r w:rsidRPr="00170176">
        <w:t>Modification History</w:t>
      </w:r>
    </w:p>
    <w:p w:rsidR="00000000" w:rsidRPr="00170176" w:rsidP="00780C59">
      <w:pPr>
        <w:pStyle w:val="BodyText"/>
      </w:pPr>
      <w:r w:rsidRPr="00170176">
        <w:t>Not applicable.</w:t>
      </w:r>
    </w:p>
    <w:p w:rsidR="00000000" w:rsidRPr="00170176" w:rsidP="00170176">
      <w:pPr>
        <w:pStyle w:val="Heading1"/>
      </w:pPr>
      <w:bookmarkStart w:id="2" w:name="O_762773"/>
      <w:bookmarkEnd w:id="2"/>
      <w:r w:rsidRPr="00170176">
        <w:t>Application</w:t>
      </w:r>
    </w:p>
    <w:p w:rsidR="00000000" w:rsidRPr="00170176" w:rsidP="00780C59">
      <w:pPr>
        <w:pStyle w:val="BodyText"/>
      </w:pPr>
      <w:r w:rsidRPr="00170176">
        <w:t>This unit describes the performance outcomes, skills and knowledge required to provide responsible gambling services, and to assist those customers who have issues with problem gambl</w:t>
      </w:r>
      <w:r w:rsidRPr="00170176">
        <w:t>ing.</w:t>
      </w:r>
    </w:p>
    <w:p w:rsidR="00000000" w:rsidRPr="00170176" w:rsidP="00780C59">
      <w:pPr>
        <w:pStyle w:val="BodyText"/>
      </w:pPr>
      <w:r w:rsidRPr="00170176">
        <w:t xml:space="preserve">Responsible gambling services must be provided wherever gambling activities are undertaken. In the hospitality industry, the gambling environment is usually referred to as the gaming area and is provided in a range of venues, such as hotels, motels, </w:t>
      </w:r>
      <w:r w:rsidRPr="00170176">
        <w:t>clubs, pubs and casinos.</w:t>
      </w:r>
    </w:p>
    <w:p w:rsidR="00000000" w:rsidRPr="00170176" w:rsidP="00780C59">
      <w:pPr>
        <w:pStyle w:val="BodyText"/>
      </w:pPr>
      <w:r w:rsidRPr="00170176">
        <w:t xml:space="preserve">The major forms of gambling are wagering (racing and sport) and gaming (gaming machines, table games, Keno and lotteries). Both forms of gambling are relevant to the hospitality industry. </w:t>
      </w:r>
    </w:p>
    <w:p w:rsidR="00000000" w:rsidRPr="00170176" w:rsidP="00780C59">
      <w:pPr>
        <w:pStyle w:val="BodyText"/>
      </w:pPr>
      <w:r w:rsidRPr="00170176">
        <w:t>Hospitality venues may operate Totalisat</w:t>
      </w:r>
      <w:r w:rsidRPr="00170176">
        <w:t>or Agency Board (TAB) outlets for wagering on racing and sport events. They may also cover the full range of gaming activities, including operating gaming machines, table games, Keno and lotteries.</w:t>
      </w:r>
    </w:p>
    <w:p w:rsidR="00000000" w:rsidRPr="00170176" w:rsidP="00780C59">
      <w:pPr>
        <w:pStyle w:val="BodyText"/>
      </w:pPr>
      <w:r w:rsidRPr="00170176">
        <w:t>Responsible provision of gambling services is an essentia</w:t>
      </w:r>
      <w:r w:rsidRPr="00170176">
        <w:t>l underpinning skill for all hospitality personnel involved in the sale and service of gambling activities in licensed premises, including the licensee, gaming supervisors and gaming managers when involved in operational gambling activities.</w:t>
      </w:r>
    </w:p>
    <w:p w:rsidR="00000000" w:rsidRPr="00170176" w:rsidP="00780C59">
      <w:pPr>
        <w:pStyle w:val="BodyText"/>
      </w:pPr>
      <w:r w:rsidRPr="00170176">
        <w:t>The unit appl</w:t>
      </w:r>
      <w:r w:rsidRPr="00170176">
        <w:t xml:space="preserve">ies equally to frontline operational gambling personnel who operate with a limited level of autonomy and under some supervision and guidance from others. They would operate within predefined organisational procedures, and regulatory authority and industry </w:t>
      </w:r>
      <w:r w:rsidRPr="00170176">
        <w:t xml:space="preserve">and organisational codes of conduct. </w:t>
      </w:r>
    </w:p>
    <w:p w:rsidR="00000000" w:rsidRPr="00170176" w:rsidP="00780C59">
      <w:pPr>
        <w:pStyle w:val="BodyText"/>
      </w:pPr>
      <w:r w:rsidRPr="00170176">
        <w:t>Operational job roles would include gaming attendant, table game attendant, croupier and multi-skilled food and beverage attendant.</w:t>
      </w:r>
    </w:p>
    <w:p w:rsidR="00000000" w:rsidRPr="00170176" w:rsidP="00780C59">
      <w:pPr>
        <w:pStyle w:val="BodyText"/>
      </w:pPr>
      <w:r w:rsidRPr="00170176">
        <w:t>The unit also relates to satisfying the requirements for providing responsible gambl</w:t>
      </w:r>
      <w:r w:rsidRPr="00170176">
        <w:t>ing services under state and territory legislation. The terms used to describe this vary across state and territory regulatory bodies and can include Responsible Conduct of Gambling (RCG), Responsible Service of Gaming, or Responsible Service of Gambling (</w:t>
      </w:r>
      <w:r w:rsidRPr="00170176">
        <w:t>RSG).</w:t>
      </w:r>
    </w:p>
    <w:p w:rsidR="00000000" w:rsidRPr="00170176" w:rsidP="00780C59">
      <w:pPr>
        <w:pStyle w:val="BodyText"/>
      </w:pPr>
      <w:r w:rsidRPr="00170176">
        <w:t>Those developing training to support this unit must consult the relevant state and territory gaming licensing authority to determine accreditation arrangements for courses, trainers and assessors.</w:t>
      </w:r>
    </w:p>
    <w:p w:rsidR="00000000" w:rsidRPr="00170176" w:rsidP="00780C59">
      <w:pPr>
        <w:pStyle w:val="BodyText"/>
      </w:pPr>
      <w:r w:rsidRPr="00170176">
        <w:t>Under differing state and territory legislation thi</w:t>
      </w:r>
      <w:r w:rsidRPr="00170176">
        <w:t>s is a required certification unit for certain nominated personnel operating in licensed gambling premises.</w:t>
      </w:r>
    </w:p>
    <w:p w:rsidR="00780C59" w:rsidP="00780C59">
      <w:pPr>
        <w:pStyle w:val="BodyText"/>
      </w:pPr>
      <w:r w:rsidRPr="00170176">
        <w:t>The requirement to ensure compliance with organisational policies, legal obligations and codes of practice for gambling venues is not covered by th</w:t>
      </w:r>
      <w:r w:rsidRPr="00170176">
        <w:t>is unit but may be found in SITHGAM014 Manage gaming activities.</w:t>
      </w:r>
    </w:p>
    <w:p w:rsidR="00000000" w:rsidRPr="00170176" w:rsidP="00170176">
      <w:pPr>
        <w:pStyle w:val="Heading1"/>
      </w:pPr>
      <w:bookmarkStart w:id="3" w:name="O_762774"/>
      <w:bookmarkEnd w:id="3"/>
      <w:r w:rsidRPr="00170176">
        <w:t>Pre-requisite Unit</w:t>
      </w:r>
    </w:p>
    <w:p w:rsidR="00000000" w:rsidRPr="00170176" w:rsidP="00780C59">
      <w:pPr>
        <w:pStyle w:val="BodyText"/>
      </w:pPr>
      <w:r w:rsidRPr="00170176">
        <w:t>Nil</w:t>
      </w:r>
    </w:p>
    <w:p w:rsidR="00000000" w:rsidRPr="00170176" w:rsidP="00170176">
      <w:pPr>
        <w:pStyle w:val="Heading1"/>
      </w:pPr>
      <w:bookmarkStart w:id="4" w:name="O_762775"/>
      <w:bookmarkEnd w:id="4"/>
      <w:r w:rsidRPr="00170176">
        <w:t>Competency Field</w:t>
      </w:r>
    </w:p>
    <w:p w:rsidR="00000000" w:rsidRPr="00170176" w:rsidP="00780C59">
      <w:pPr>
        <w:pStyle w:val="BodyText"/>
      </w:pPr>
      <w:r w:rsidRPr="00170176">
        <w:t xml:space="preserve">Gaming </w:t>
      </w:r>
    </w:p>
    <w:p w:rsidR="00000000" w:rsidRPr="00170176" w:rsidP="00170176">
      <w:pPr>
        <w:pStyle w:val="Heading1"/>
      </w:pPr>
      <w:bookmarkStart w:id="5" w:name="O_762776"/>
      <w:bookmarkEnd w:id="5"/>
      <w:r w:rsidRPr="00170176">
        <w:t>Unit Sector</w:t>
      </w:r>
    </w:p>
    <w:p w:rsidR="00000000" w:rsidRPr="00170176" w:rsidP="00780C59">
      <w:pPr>
        <w:pStyle w:val="BodyText"/>
      </w:pPr>
      <w:r w:rsidRPr="00170176">
        <w:t>Hospitality</w:t>
      </w:r>
    </w:p>
    <w:p w:rsidR="00000000" w:rsidRPr="00170176" w:rsidP="00170176">
      <w:pPr>
        <w:pStyle w:val="Heading1"/>
      </w:pPr>
      <w:bookmarkStart w:id="6" w:name="O_762777"/>
      <w:bookmarkEnd w:id="6"/>
      <w:r w:rsidRPr="00170176">
        <w:t>Elements and Performance Criteria</w:t>
      </w:r>
    </w:p>
    <w:tbl>
      <w:tblPr>
        <w:tblW w:w="0" w:type="auto"/>
        <w:tblCellMar>
          <w:left w:w="62" w:type="dxa"/>
          <w:right w:w="62" w:type="dxa"/>
        </w:tblCellMar>
        <w:tblLook w:val="0000"/>
      </w:tblPr>
      <w:tblGrid>
        <w:gridCol w:w="3522"/>
        <w:gridCol w:w="5674"/>
      </w:tblGrid>
      <w:tr w:rsidTr="00780C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0176" w:rsidP="00170176">
            <w:pPr>
              <w:pStyle w:val="BodyText"/>
            </w:pPr>
            <w:r w:rsidRPr="00170176">
              <w:rPr>
                <w:rStyle w:val="SpecialBold"/>
              </w:rPr>
              <w:t>ELEMENTS</w:t>
            </w:r>
            <w:r w:rsidRPr="0017017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rPr>
                <w:rStyle w:val="SpecialBold"/>
              </w:rPr>
              <w:t>PERFORMANCE CRITERIA</w:t>
            </w:r>
          </w:p>
        </w:tc>
      </w:tr>
      <w:tr w:rsidTr="00780C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Performance criteria describe the performance needed to demonstrate achievement of the element.</w:t>
            </w:r>
          </w:p>
        </w:tc>
      </w:tr>
      <w:tr w:rsidTr="00780C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76">
            <w:pPr>
              <w:pStyle w:val="List"/>
              <w:rPr>
                <w:lang w:val="en-NZ"/>
              </w:rPr>
            </w:pPr>
            <w:r w:rsidRPr="00170176">
              <w:t>1.</w:t>
            </w:r>
            <w:r w:rsidRPr="00170176">
              <w:tab/>
              <w:t>Implement responsible gambling practices.</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
            </w:pPr>
            <w:r w:rsidRPr="00170176">
              <w:t xml:space="preserve">1.1.Follow </w:t>
            </w:r>
            <w:r w:rsidRPr="00170176">
              <w:rPr>
                <w:rStyle w:val="BoldandItalics"/>
              </w:rPr>
              <w:t>responsible gambling service procedures</w:t>
            </w:r>
            <w:r w:rsidRPr="00170176">
              <w:t xml:space="preserve"> according to relevant state and territory legislation and industry and organisational policy and codes of conduct.</w:t>
            </w:r>
          </w:p>
          <w:p w:rsidR="00000000" w:rsidRPr="00170176" w:rsidP="00170176">
            <w:pPr>
              <w:pStyle w:val="List"/>
            </w:pPr>
            <w:r w:rsidRPr="00170176">
              <w:t xml:space="preserve">1.2.Communicate with appropriate personnel on gambling related incidents, situations and their compliance with legislation and industry and </w:t>
            </w:r>
            <w:r w:rsidRPr="00170176">
              <w:t>organisational policy.</w:t>
            </w:r>
          </w:p>
          <w:p w:rsidR="00000000" w:rsidRPr="00170176" w:rsidP="00170176">
            <w:pPr>
              <w:pStyle w:val="List"/>
            </w:pPr>
            <w:r w:rsidRPr="00170176">
              <w:t xml:space="preserve">1.3.Maintain accurate records of gambling related incidents and </w:t>
            </w:r>
            <w:r w:rsidRPr="00170176">
              <w:t>associated staff action according to industry and organisational policy and procedures.</w:t>
            </w:r>
          </w:p>
          <w:p w:rsidR="00000000" w:rsidP="00170176">
            <w:pPr>
              <w:pStyle w:val="List"/>
              <w:rPr>
                <w:lang w:val="en-NZ"/>
              </w:rPr>
            </w:pPr>
            <w:r w:rsidRPr="00170176">
              <w:t xml:space="preserve">1.4.Ensure gambling environmental features support responsible gambling policies </w:t>
            </w:r>
            <w:r w:rsidRPr="00170176">
              <w:t>within scope of own responsibility.</w:t>
            </w:r>
          </w:p>
        </w:tc>
      </w:tr>
      <w:tr w:rsidTr="00780C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76">
            <w:pPr>
              <w:pStyle w:val="List"/>
              <w:rPr>
                <w:lang w:val="en-NZ"/>
              </w:rPr>
            </w:pPr>
            <w:r w:rsidRPr="00170176">
              <w:t>2.</w:t>
            </w:r>
            <w:r w:rsidRPr="00170176">
              <w:tab/>
              <w:t>Provide information and assistance to customers about problem gambling.</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
            </w:pPr>
            <w:r w:rsidRPr="00170176">
              <w:t>2.1.Provide accurate and appropriate information on problem gambling to customers on request.</w:t>
            </w:r>
          </w:p>
          <w:p w:rsidR="00000000" w:rsidRPr="00170176" w:rsidP="00170176">
            <w:pPr>
              <w:pStyle w:val="List"/>
            </w:pPr>
            <w:r w:rsidRPr="00170176">
              <w:t>2.2.Follow procedures for self exclusion and exclusion according to legislation, industry and organisational policy, and confidentiality and privacy requirements.</w:t>
            </w:r>
          </w:p>
          <w:p w:rsidR="00000000" w:rsidRPr="00170176" w:rsidP="00170176">
            <w:pPr>
              <w:pStyle w:val="List"/>
            </w:pPr>
            <w:r w:rsidRPr="00170176">
              <w:t>2.3.Display signage and information related to responsible gambling in appropriate places vis</w:t>
            </w:r>
            <w:r w:rsidRPr="00170176">
              <w:t>ible to players, according to legislative, industry and organisational requirements.</w:t>
            </w:r>
          </w:p>
          <w:p w:rsidR="00000000" w:rsidRPr="00170176" w:rsidP="00170176">
            <w:pPr>
              <w:pStyle w:val="List"/>
            </w:pPr>
            <w:r w:rsidRPr="00170176">
              <w:t>2.4.On request, provide information on available support services according to confidentiality and privacy requirements, and legislative, industry and organisational requi</w:t>
            </w:r>
            <w:r w:rsidRPr="00170176">
              <w:t>rements.</w:t>
            </w:r>
          </w:p>
        </w:tc>
      </w:tr>
    </w:tbl>
    <w:p w:rsidR="00000000" w:rsidRPr="00170176" w:rsidP="00170176">
      <w:pPr>
        <w:pStyle w:val="BodyText"/>
      </w:pPr>
    </w:p>
    <w:p w:rsidR="00000000" w:rsidRPr="00170176" w:rsidP="00170176">
      <w:pPr>
        <w:pStyle w:val="AllowPageBreak"/>
      </w:pPr>
    </w:p>
    <w:p w:rsidR="00000000" w:rsidRPr="00170176" w:rsidP="00170176">
      <w:pPr>
        <w:pStyle w:val="Heading1"/>
      </w:pPr>
      <w:bookmarkStart w:id="7" w:name="O_762778"/>
      <w:bookmarkEnd w:id="7"/>
      <w:r w:rsidRPr="00170176">
        <w:t>Foundation Skills</w:t>
      </w:r>
    </w:p>
    <w:tbl>
      <w:tblPr>
        <w:tblW w:w="0" w:type="auto"/>
        <w:tblCellMar>
          <w:left w:w="62" w:type="dxa"/>
          <w:right w:w="62" w:type="dxa"/>
        </w:tblCellMar>
        <w:tblLook w:val="0000"/>
      </w:tblPr>
      <w:tblGrid>
        <w:gridCol w:w="3522"/>
        <w:gridCol w:w="5674"/>
      </w:tblGrid>
      <w:tr w:rsidTr="00780C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Foundation skills essential to performance in this unit, but not explicit in the performance criteria are listed here, along with a brief context statement.</w:t>
            </w:r>
          </w:p>
        </w:tc>
      </w:tr>
      <w:tr w:rsidTr="00780C5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170176" w:rsidP="00170176">
            <w:pPr>
              <w:pStyle w:val="BodyText"/>
            </w:pPr>
            <w:r w:rsidRPr="0017017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rPr>
                <w:rStyle w:val="SpecialBold"/>
              </w:rPr>
              <w:t>DESCRIPTION</w:t>
            </w:r>
          </w:p>
        </w:tc>
      </w:tr>
      <w:tr w:rsidTr="00780C5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Reading skills to:</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Bullet"/>
            </w:pPr>
            <w:r w:rsidRPr="00170176">
              <w:t>read and interpret at times complex information relating to:</w:t>
            </w:r>
          </w:p>
          <w:p w:rsidR="00000000" w:rsidRPr="00170176" w:rsidP="00170176">
            <w:pPr>
              <w:pStyle w:val="ListBullet2"/>
            </w:pPr>
            <w:r w:rsidRPr="00170176">
              <w:t>problem gambling signage</w:t>
            </w:r>
          </w:p>
          <w:p w:rsidR="00000000" w:rsidRPr="00170176" w:rsidP="00170176">
            <w:pPr>
              <w:pStyle w:val="ListBullet2"/>
            </w:pPr>
            <w:r w:rsidRPr="00170176">
              <w:t>general gambling information and brochures</w:t>
            </w:r>
          </w:p>
          <w:p w:rsidR="00000000" w:rsidRPr="00170176" w:rsidP="00170176">
            <w:pPr>
              <w:pStyle w:val="ListBullet2"/>
            </w:pPr>
            <w:r w:rsidRPr="00170176">
              <w:t>industry or regulatory codes of conduct relating to responsible gambling</w:t>
            </w:r>
          </w:p>
          <w:p w:rsidR="00000000" w:rsidRPr="00170176" w:rsidP="00170176">
            <w:pPr>
              <w:pStyle w:val="ListBullet2"/>
            </w:pPr>
            <w:r w:rsidRPr="00170176">
              <w:t>in house policies and procedures relating to responsible gambling</w:t>
            </w:r>
          </w:p>
          <w:p w:rsidR="00000000" w:rsidP="00170176">
            <w:pPr>
              <w:pStyle w:val="ListBullet2"/>
              <w:rPr>
                <w:lang w:val="en-NZ"/>
              </w:rPr>
            </w:pPr>
            <w:r w:rsidRPr="00170176">
              <w:t>plain English regulatory and advisory information issued by local, state and territory gambling licensing authorities.</w:t>
            </w:r>
          </w:p>
        </w:tc>
      </w:tr>
      <w:tr w:rsidTr="00780C5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Bullet"/>
            </w:pPr>
            <w:r w:rsidRPr="00170176">
              <w:t>respond to indicators of problem gambli</w:t>
            </w:r>
            <w:r w:rsidRPr="00170176">
              <w:t>ng</w:t>
            </w:r>
          </w:p>
          <w:p w:rsidR="00000000" w:rsidP="00170176">
            <w:pPr>
              <w:pStyle w:val="ListBullet"/>
              <w:rPr>
                <w:lang w:val="en-NZ"/>
              </w:rPr>
            </w:pPr>
            <w:r w:rsidRPr="00170176">
              <w:t>deal courteously and discreetly with customers identifying problems with gambling or requesting self exclusion, using non-confrontational language.</w:t>
            </w:r>
          </w:p>
        </w:tc>
      </w:tr>
      <w:tr w:rsidTr="00780C5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Problem-solving skills to:</w:t>
            </w:r>
          </w:p>
        </w:tc>
        <w:tc>
          <w:tcPr>
            <w:tcW w:w="0" w:type="auto"/>
            <w:tcBorders>
              <w:top w:val="nil"/>
              <w:left w:val="nil"/>
              <w:bottom w:val="nil"/>
              <w:right w:val="nil"/>
            </w:tcBorders>
            <w:tcMar>
              <w:top w:w="0" w:type="dxa"/>
              <w:left w:w="62" w:type="dxa"/>
              <w:bottom w:w="0" w:type="dxa"/>
              <w:right w:w="62" w:type="dxa"/>
            </w:tcMar>
          </w:tcPr>
          <w:p w:rsidR="00000000" w:rsidP="00170176">
            <w:pPr>
              <w:pStyle w:val="ListBullet"/>
              <w:rPr>
                <w:lang w:val="en-NZ"/>
              </w:rPr>
            </w:pPr>
            <w:r w:rsidRPr="00170176">
              <w:t>identify potential problem gamblers and apply appropriate solutions within scope of responsibility, or seek assistance from appropriate colleagues.</w:t>
            </w:r>
          </w:p>
        </w:tc>
      </w:tr>
      <w:tr w:rsidTr="00780C59">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t>Technology skills to:</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Bullet"/>
            </w:pPr>
            <w:r w:rsidRPr="00170176">
              <w:t>use a computer and appropriate software to record gambling-related incidents and sta</w:t>
            </w:r>
            <w:r w:rsidRPr="00170176">
              <w:t>ff actions.</w:t>
            </w:r>
          </w:p>
        </w:tc>
      </w:tr>
    </w:tbl>
    <w:p w:rsidR="00000000" w:rsidRPr="00170176" w:rsidP="00170176">
      <w:pPr>
        <w:pStyle w:val="BodyText"/>
      </w:pPr>
    </w:p>
    <w:p w:rsidR="00000000" w:rsidRPr="00170176" w:rsidP="00170176">
      <w:pPr>
        <w:pStyle w:val="AllowPageBreak"/>
      </w:pPr>
    </w:p>
    <w:p w:rsidR="00000000" w:rsidRPr="00170176" w:rsidP="00170176">
      <w:pPr>
        <w:pStyle w:val="Heading1"/>
      </w:pPr>
      <w:bookmarkStart w:id="8" w:name="O_762779"/>
      <w:bookmarkEnd w:id="8"/>
      <w:r w:rsidRPr="00170176">
        <w:t>Range of Conditions</w:t>
      </w:r>
    </w:p>
    <w:tbl>
      <w:tblPr>
        <w:tblW w:w="0" w:type="auto"/>
        <w:tblCellMar>
          <w:left w:w="62" w:type="dxa"/>
          <w:right w:w="62" w:type="dxa"/>
        </w:tblCellMar>
        <w:tblLook w:val="0000"/>
      </w:tblPr>
      <w:tblGrid>
        <w:gridCol w:w="3594"/>
        <w:gridCol w:w="5602"/>
      </w:tblGrid>
      <w:tr w:rsidTr="00780C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70176" w:rsidP="00170176">
            <w:pPr>
              <w:pStyle w:val="BodyText"/>
            </w:pPr>
            <w:r w:rsidRPr="00170176">
              <w:t xml:space="preserve">Specifies different work environments and conditions that may affect performance. Essential operating conditions that may be present (depending on the work situation, needs of the candidate, accessibility </w:t>
            </w:r>
            <w:r w:rsidRPr="00170176">
              <w:t>of the item, and local industry and regional contexts) are included.</w:t>
            </w:r>
          </w:p>
          <w:p w:rsidR="00000000" w:rsidP="00170176">
            <w:pPr>
              <w:pStyle w:val="BodyText"/>
              <w:rPr>
                <w:lang w:val="en-NZ"/>
              </w:rPr>
            </w:pPr>
            <w:r w:rsidRPr="00170176">
              <w:t>Range is restricted to essential operating conditions and any other variables essential to the work environment.</w:t>
            </w:r>
          </w:p>
        </w:tc>
      </w:tr>
      <w:tr w:rsidTr="00780C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76">
            <w:pPr>
              <w:pStyle w:val="BodyText"/>
              <w:rPr>
                <w:lang w:val="en-NZ"/>
              </w:rPr>
            </w:pPr>
            <w:r w:rsidRPr="00170176">
              <w:rPr>
                <w:rStyle w:val="BoldandItalics"/>
              </w:rPr>
              <w:t>Responsible gambling service procedures</w:t>
            </w:r>
            <w:r w:rsidRPr="00170176">
              <w:t xml:space="preserve"> must relate to:</w:t>
            </w:r>
          </w:p>
        </w:tc>
        <w:tc>
          <w:tcPr>
            <w:tcW w:w="0" w:type="auto"/>
            <w:tcBorders>
              <w:top w:val="nil"/>
              <w:left w:val="nil"/>
              <w:bottom w:val="nil"/>
              <w:right w:val="nil"/>
            </w:tcBorders>
            <w:tcMar>
              <w:top w:w="0" w:type="dxa"/>
              <w:left w:w="62" w:type="dxa"/>
              <w:bottom w:w="0" w:type="dxa"/>
              <w:right w:w="62" w:type="dxa"/>
            </w:tcMar>
          </w:tcPr>
          <w:p w:rsidR="00000000" w:rsidRPr="00170176" w:rsidP="00170176">
            <w:pPr>
              <w:pStyle w:val="ListBullet"/>
            </w:pPr>
            <w:r w:rsidRPr="00170176">
              <w:t xml:space="preserve">applying self exclusion and exclusion procedures </w:t>
            </w:r>
          </w:p>
          <w:p w:rsidR="00000000" w:rsidRPr="00170176" w:rsidP="00170176">
            <w:pPr>
              <w:pStyle w:val="ListBullet"/>
            </w:pPr>
            <w:r w:rsidRPr="00170176">
              <w:t>posting signage in appropriate locations</w:t>
            </w:r>
          </w:p>
          <w:p w:rsidR="00000000" w:rsidRPr="00170176" w:rsidP="00170176">
            <w:pPr>
              <w:pStyle w:val="ListBullet"/>
            </w:pPr>
            <w:r w:rsidRPr="00170176">
              <w:t>providing appropriate environmental features</w:t>
            </w:r>
          </w:p>
          <w:p w:rsidR="00000000" w:rsidRPr="00170176" w:rsidP="00170176">
            <w:pPr>
              <w:pStyle w:val="ListBullet"/>
            </w:pPr>
            <w:r w:rsidRPr="00170176">
              <w:t>providing gambling-related information, brochures and signage</w:t>
            </w:r>
          </w:p>
          <w:p w:rsidR="00000000" w:rsidRPr="00170176" w:rsidP="00170176">
            <w:pPr>
              <w:pStyle w:val="ListBullet"/>
            </w:pPr>
            <w:r w:rsidRPr="00170176">
              <w:t>following responsible practices, offering a cooling-off pe</w:t>
            </w:r>
            <w:r w:rsidRPr="00170176">
              <w:t>riod or paying large sums by cheque.</w:t>
            </w:r>
          </w:p>
        </w:tc>
      </w:tr>
    </w:tbl>
    <w:p w:rsidR="00000000" w:rsidRPr="00170176" w:rsidP="00170176">
      <w:pPr>
        <w:pStyle w:val="BodyText"/>
      </w:pPr>
    </w:p>
    <w:p w:rsidR="00000000" w:rsidRPr="00170176" w:rsidP="00170176">
      <w:pPr>
        <w:pStyle w:val="AllowPageBreak"/>
      </w:pPr>
    </w:p>
    <w:p w:rsidR="00000000" w:rsidRPr="00170176" w:rsidP="00170176">
      <w:pPr>
        <w:pStyle w:val="Heading1"/>
      </w:pPr>
      <w:bookmarkStart w:id="9" w:name="O_762780"/>
      <w:bookmarkEnd w:id="9"/>
      <w:r w:rsidRPr="00170176">
        <w:t>Unit Mapping Information</w:t>
      </w:r>
    </w:p>
    <w:p w:rsidR="00780C59" w:rsidP="00780C59">
      <w:pPr>
        <w:pStyle w:val="BodyText"/>
      </w:pPr>
      <w:r w:rsidRPr="00170176">
        <w:t>SITHGAM201 Provide responsible gambling services</w:t>
      </w:r>
    </w:p>
    <w:p w:rsidR="00000000" w:rsidRPr="00170176" w:rsidP="00170176">
      <w:pPr>
        <w:pStyle w:val="Heading1"/>
      </w:pPr>
      <w:bookmarkStart w:id="10" w:name="O_762787"/>
      <w:bookmarkEnd w:id="10"/>
      <w:r w:rsidRPr="00170176">
        <w:t>Links</w:t>
      </w:r>
    </w:p>
    <w:p w:rsidR="00000000" w:rsidRPr="00170176" w:rsidP="00780C59">
      <w:pPr>
        <w:pStyle w:val="BodyText"/>
      </w:pPr>
      <w:r w:rsidRPr="0017017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1786B">
        <w:rPr>
          <w:rStyle w:val="Hyperlink"/>
        </w:rPr>
        <w:t>https://vetnet.gov.au/Pages/TrainingDocs.aspx?q=68c40a93-e51d-4e0f-bc06-899dff092694</w:t>
      </w:r>
      <w:r>
        <w:fldChar w:fldCharType="end"/>
      </w:r>
    </w:p>
    <w:p w:rsidR="00000000" w:rsidRPr="00170176" w:rsidP="00170176"/>
    <w:sectPr w:rsidSect="001701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76" w:rsidRPr="00780C59" w:rsidP="00780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59" w:rsidP="001701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C59" w:rsidP="0017017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80C59" w:rsidP="001701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176" w:rsidRPr="00780C59" w:rsidP="00780C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59" w:rsidRPr="002D2AF8" w:rsidP="00170176">
    <w:pPr>
      <w:pStyle w:val="Header"/>
      <w:framePr w:wrap="around"/>
    </w:pPr>
    <w:r>
      <w:fldChar w:fldCharType="begin"/>
    </w:r>
    <w:r>
      <w:instrText xml:space="preserve"> TITLE   \* MERGEFORMAT </w:instrText>
    </w:r>
    <w:r>
      <w:fldChar w:fldCharType="separate"/>
    </w:r>
    <w:r>
      <w:t>SITHGAM001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80C59" w:rsidP="001701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A2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A8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ECC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1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176"/>
    <w:pPr>
      <w:spacing w:before="360" w:after="60"/>
      <w:outlineLvl w:val="0"/>
    </w:pPr>
    <w:rPr>
      <w:sz w:val="32"/>
    </w:rPr>
  </w:style>
  <w:style w:type="paragraph" w:styleId="Heading2">
    <w:name w:val="heading 2"/>
    <w:basedOn w:val="HeadingBase"/>
    <w:next w:val="BodyText"/>
    <w:link w:val="Heading2Char"/>
    <w:qFormat/>
    <w:rsid w:val="00170176"/>
    <w:pPr>
      <w:keepLines/>
      <w:spacing w:before="240" w:after="120"/>
      <w:outlineLvl w:val="1"/>
    </w:pPr>
    <w:rPr>
      <w:sz w:val="28"/>
      <w:szCs w:val="40"/>
    </w:rPr>
  </w:style>
  <w:style w:type="paragraph" w:styleId="Heading3">
    <w:name w:val="heading 3"/>
    <w:basedOn w:val="HeadingBase"/>
    <w:next w:val="BodyText"/>
    <w:link w:val="Heading3Char"/>
    <w:qFormat/>
    <w:rsid w:val="00170176"/>
    <w:pPr>
      <w:spacing w:before="180" w:after="120"/>
      <w:outlineLvl w:val="2"/>
    </w:pPr>
    <w:rPr>
      <w:spacing w:val="-10"/>
      <w:kern w:val="32"/>
    </w:rPr>
  </w:style>
  <w:style w:type="paragraph" w:styleId="Heading4">
    <w:name w:val="heading 4"/>
    <w:basedOn w:val="HeadingBase"/>
    <w:next w:val="BodyText"/>
    <w:link w:val="Heading4Char"/>
    <w:qFormat/>
    <w:rsid w:val="00170176"/>
    <w:pPr>
      <w:spacing w:before="160" w:after="120"/>
      <w:outlineLvl w:val="3"/>
    </w:pPr>
    <w:rPr>
      <w:sz w:val="22"/>
    </w:rPr>
  </w:style>
  <w:style w:type="paragraph" w:styleId="Heading5">
    <w:name w:val="heading 5"/>
    <w:basedOn w:val="HeadingBase"/>
    <w:next w:val="Normal"/>
    <w:link w:val="Heading5Char"/>
    <w:qFormat/>
    <w:rsid w:val="00170176"/>
    <w:pPr>
      <w:spacing w:before="80"/>
      <w:outlineLvl w:val="4"/>
    </w:pPr>
    <w:rPr>
      <w:color w:val="918585"/>
      <w:sz w:val="20"/>
    </w:rPr>
  </w:style>
  <w:style w:type="paragraph" w:styleId="Heading6">
    <w:name w:val="heading 6"/>
    <w:basedOn w:val="HeadingBase"/>
    <w:next w:val="Normal"/>
    <w:link w:val="Heading6Char"/>
    <w:qFormat/>
    <w:rsid w:val="00170176"/>
    <w:pPr>
      <w:spacing w:before="60"/>
      <w:outlineLvl w:val="5"/>
    </w:pPr>
    <w:rPr>
      <w:color w:val="918585"/>
      <w:sz w:val="20"/>
    </w:rPr>
  </w:style>
  <w:style w:type="paragraph" w:styleId="Heading7">
    <w:name w:val="heading 7"/>
    <w:basedOn w:val="Normal"/>
    <w:next w:val="Normal"/>
    <w:link w:val="Heading7Char"/>
    <w:qFormat/>
    <w:rsid w:val="00170176"/>
    <w:pPr>
      <w:ind w:left="720"/>
      <w:outlineLvl w:val="6"/>
    </w:pPr>
    <w:rPr>
      <w:i/>
    </w:rPr>
  </w:style>
  <w:style w:type="paragraph" w:styleId="Heading8">
    <w:name w:val="heading 8"/>
    <w:basedOn w:val="Normal"/>
    <w:next w:val="Normal"/>
    <w:link w:val="Heading8Char"/>
    <w:qFormat/>
    <w:rsid w:val="00170176"/>
    <w:pPr>
      <w:ind w:left="720"/>
      <w:outlineLvl w:val="7"/>
    </w:pPr>
    <w:rPr>
      <w:i/>
    </w:rPr>
  </w:style>
  <w:style w:type="paragraph" w:styleId="Heading9">
    <w:name w:val="heading 9"/>
    <w:basedOn w:val="Normal"/>
    <w:next w:val="Normal"/>
    <w:link w:val="Heading9Char"/>
    <w:qFormat/>
    <w:rsid w:val="00170176"/>
    <w:pPr>
      <w:ind w:left="720"/>
      <w:outlineLvl w:val="8"/>
    </w:pPr>
    <w:rPr>
      <w:i/>
    </w:rPr>
  </w:style>
  <w:style w:type="character" w:default="1" w:styleId="DefaultParagraphFont">
    <w:name w:val="Default Paragraph Font"/>
    <w:uiPriority w:val="1"/>
    <w:unhideWhenUsed/>
    <w:rsid w:val="001701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176"/>
  </w:style>
  <w:style w:type="character" w:customStyle="1" w:styleId="Heading1Char">
    <w:name w:val="Heading 1 Char"/>
    <w:basedOn w:val="DefaultParagraphFont"/>
    <w:link w:val="Heading1"/>
    <w:rsid w:val="00170176"/>
    <w:rPr>
      <w:rFonts w:ascii="Times New Roman" w:eastAsia="Times New Roman" w:hAnsi="Times New Roman" w:cs="Times New Roman"/>
      <w:b/>
      <w:sz w:val="32"/>
      <w:szCs w:val="20"/>
      <w:lang w:eastAsia="en-US"/>
    </w:rPr>
  </w:style>
  <w:style w:type="paragraph" w:styleId="BodyText">
    <w:name w:val="Body Text"/>
    <w:basedOn w:val="Normal"/>
    <w:link w:val="BodyTextChar"/>
    <w:rsid w:val="001701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176"/>
    <w:rPr>
      <w:rFonts w:ascii="Times New Roman" w:eastAsia="Times New Roman" w:hAnsi="Times New Roman" w:cs="Times New Roman"/>
      <w:sz w:val="24"/>
      <w:lang w:eastAsia="en-US"/>
    </w:rPr>
  </w:style>
  <w:style w:type="paragraph" w:styleId="List">
    <w:name w:val="List"/>
    <w:basedOn w:val="BodyText"/>
    <w:next w:val="BodyText"/>
    <w:rsid w:val="00170176"/>
    <w:pPr>
      <w:tabs>
        <w:tab w:val="left" w:pos="340"/>
      </w:tabs>
      <w:spacing w:before="60" w:after="60"/>
      <w:ind w:left="340" w:hanging="340"/>
    </w:pPr>
  </w:style>
  <w:style w:type="paragraph" w:styleId="ListBullet">
    <w:name w:val="List Bullet"/>
    <w:basedOn w:val="List"/>
    <w:rsid w:val="00170176"/>
    <w:pPr>
      <w:numPr>
        <w:numId w:val="12"/>
      </w:numPr>
      <w:tabs>
        <w:tab w:val="clear" w:pos="340"/>
      </w:tabs>
      <w:spacing w:before="40" w:after="40"/>
    </w:pPr>
  </w:style>
  <w:style w:type="character" w:customStyle="1" w:styleId="SpecialBold">
    <w:name w:val="Special Bold"/>
    <w:basedOn w:val="DefaultParagraphFont"/>
    <w:rsid w:val="00170176"/>
    <w:rPr>
      <w:b/>
      <w:spacing w:val="0"/>
    </w:rPr>
  </w:style>
  <w:style w:type="paragraph" w:styleId="ListBullet2">
    <w:name w:val="List Bullet 2"/>
    <w:basedOn w:val="List2"/>
    <w:rsid w:val="00170176"/>
    <w:pPr>
      <w:numPr>
        <w:numId w:val="13"/>
      </w:numPr>
      <w:tabs>
        <w:tab w:val="clear" w:pos="680"/>
      </w:tabs>
    </w:pPr>
  </w:style>
  <w:style w:type="paragraph" w:customStyle="1" w:styleId="SuperHeading">
    <w:name w:val="SuperHeading"/>
    <w:basedOn w:val="Normal"/>
    <w:rsid w:val="00170176"/>
    <w:pPr>
      <w:spacing w:before="240" w:after="120"/>
      <w:outlineLvl w:val="0"/>
    </w:pPr>
    <w:rPr>
      <w:rFonts w:ascii="Times New Roman" w:hAnsi="Times New Roman"/>
      <w:b/>
      <w:sz w:val="32"/>
    </w:rPr>
  </w:style>
  <w:style w:type="paragraph" w:customStyle="1" w:styleId="AllowPageBreak">
    <w:name w:val="AllowPageBreak"/>
    <w:rsid w:val="001701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0176"/>
    <w:rPr>
      <w:b/>
      <w:i/>
      <w:u w:val="none"/>
    </w:rPr>
  </w:style>
  <w:style w:type="character" w:customStyle="1" w:styleId="Heading2Char">
    <w:name w:val="Heading 2 Char"/>
    <w:basedOn w:val="DefaultParagraphFont"/>
    <w:link w:val="Heading2"/>
    <w:rsid w:val="001701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1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1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1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1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1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1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176"/>
    <w:rPr>
      <w:rFonts w:ascii="Courier New" w:eastAsia="Times New Roman" w:hAnsi="Courier New" w:cs="Times New Roman"/>
      <w:i/>
      <w:szCs w:val="20"/>
      <w:lang w:eastAsia="en-US"/>
    </w:rPr>
  </w:style>
  <w:style w:type="paragraph" w:customStyle="1" w:styleId="HeadingBase">
    <w:name w:val="Heading Base"/>
    <w:rsid w:val="001701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176"/>
    <w:pPr>
      <w:tabs>
        <w:tab w:val="right" w:leader="dot" w:pos="9072"/>
      </w:tabs>
      <w:ind w:left="567"/>
    </w:pPr>
    <w:rPr>
      <w:szCs w:val="22"/>
    </w:rPr>
  </w:style>
  <w:style w:type="paragraph" w:customStyle="1" w:styleId="TOCBase">
    <w:name w:val="TOC Base"/>
    <w:rsid w:val="001701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176"/>
    <w:pPr>
      <w:tabs>
        <w:tab w:val="right" w:leader="dot" w:pos="9072"/>
      </w:tabs>
      <w:spacing w:before="40" w:after="40"/>
      <w:ind w:left="284"/>
    </w:pPr>
    <w:rPr>
      <w:rFonts w:ascii="Times New Roman" w:hAnsi="Times New Roman"/>
    </w:rPr>
  </w:style>
  <w:style w:type="paragraph" w:styleId="TOC1">
    <w:name w:val="toc 1"/>
    <w:basedOn w:val="TOCBase"/>
    <w:next w:val="Normal"/>
    <w:rsid w:val="001701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1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176"/>
    <w:rPr>
      <w:rFonts w:ascii="Times New Roman" w:eastAsia="Times New Roman" w:hAnsi="Times New Roman" w:cs="Times New Roman"/>
      <w:sz w:val="16"/>
      <w:lang w:eastAsia="en-US"/>
    </w:rPr>
  </w:style>
  <w:style w:type="paragraph" w:styleId="Title">
    <w:name w:val="Title"/>
    <w:basedOn w:val="HeadingBase"/>
    <w:link w:val="TitleChar"/>
    <w:qFormat/>
    <w:rsid w:val="00170176"/>
    <w:pPr>
      <w:spacing w:before="5040"/>
      <w:jc w:val="center"/>
    </w:pPr>
    <w:rPr>
      <w:sz w:val="48"/>
      <w:szCs w:val="72"/>
      <w:lang w:val="en-US"/>
    </w:rPr>
  </w:style>
  <w:style w:type="character" w:customStyle="1" w:styleId="TitleChar">
    <w:name w:val="Title Char"/>
    <w:basedOn w:val="DefaultParagraphFont"/>
    <w:link w:val="Title"/>
    <w:rsid w:val="001701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176"/>
    <w:pPr>
      <w:tabs>
        <w:tab w:val="left" w:pos="3600"/>
        <w:tab w:val="left" w:pos="3958"/>
      </w:tabs>
    </w:pPr>
  </w:style>
  <w:style w:type="paragraph" w:customStyle="1" w:styleId="Note">
    <w:name w:val="Note"/>
    <w:basedOn w:val="BodyText"/>
    <w:rsid w:val="001701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176"/>
    <w:pPr>
      <w:framePr w:wrap="auto" w:hAnchor="text" w:y="6049"/>
    </w:pPr>
    <w:rPr>
      <w:color w:val="000000"/>
      <w:sz w:val="40"/>
    </w:rPr>
  </w:style>
  <w:style w:type="paragraph" w:customStyle="1" w:styleId="TOCTitle">
    <w:name w:val="TOCTitle"/>
    <w:basedOn w:val="Heading1"/>
    <w:rsid w:val="00170176"/>
    <w:pPr>
      <w:spacing w:after="240"/>
      <w:jc w:val="center"/>
      <w:outlineLvl w:val="9"/>
    </w:pPr>
    <w:rPr>
      <w:caps/>
    </w:rPr>
  </w:style>
  <w:style w:type="paragraph" w:customStyle="1" w:styleId="Version">
    <w:name w:val="Version"/>
    <w:rsid w:val="001701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176"/>
    <w:pPr>
      <w:keepNext w:val="0"/>
      <w:tabs>
        <w:tab w:val="right" w:pos="4176"/>
      </w:tabs>
      <w:ind w:left="198" w:hanging="198"/>
    </w:pPr>
    <w:rPr>
      <w:rFonts w:ascii="Garamond" w:hAnsi="Garamond"/>
    </w:rPr>
  </w:style>
  <w:style w:type="paragraph" w:styleId="IndexHeading">
    <w:name w:val="index heading"/>
    <w:basedOn w:val="Normal"/>
    <w:next w:val="Index1"/>
    <w:semiHidden/>
    <w:rsid w:val="00170176"/>
    <w:pPr>
      <w:spacing w:before="120" w:after="120"/>
    </w:pPr>
    <w:rPr>
      <w:rFonts w:ascii="Arial" w:hAnsi="Arial"/>
      <w:b/>
      <w:color w:val="918585"/>
      <w:sz w:val="24"/>
    </w:rPr>
  </w:style>
  <w:style w:type="paragraph" w:styleId="Header">
    <w:name w:val="header"/>
    <w:basedOn w:val="Normal"/>
    <w:link w:val="HeaderChar"/>
    <w:rsid w:val="001701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176"/>
    <w:rPr>
      <w:rFonts w:ascii="Times New Roman" w:eastAsia="Times New Roman" w:hAnsi="Times New Roman" w:cs="Times New Roman"/>
      <w:sz w:val="16"/>
      <w:szCs w:val="20"/>
      <w:lang w:val="en-GB" w:eastAsia="en-US"/>
    </w:rPr>
  </w:style>
  <w:style w:type="paragraph" w:customStyle="1" w:styleId="Chapter">
    <w:name w:val="Chapter"/>
    <w:basedOn w:val="Normal"/>
    <w:rsid w:val="00170176"/>
    <w:pPr>
      <w:spacing w:before="240"/>
    </w:pPr>
    <w:rPr>
      <w:rFonts w:ascii="Times New Roman" w:hAnsi="Times New Roman"/>
      <w:smallCaps/>
      <w:spacing w:val="80"/>
      <w:sz w:val="28"/>
    </w:rPr>
  </w:style>
  <w:style w:type="paragraph" w:customStyle="1" w:styleId="InChapter">
    <w:name w:val="InChapter"/>
    <w:basedOn w:val="Heading3"/>
    <w:rsid w:val="00170176"/>
    <w:pPr>
      <w:spacing w:after="240"/>
      <w:outlineLvl w:val="9"/>
    </w:pPr>
    <w:rPr>
      <w:noProof/>
    </w:rPr>
  </w:style>
  <w:style w:type="paragraph" w:styleId="Index2">
    <w:name w:val="index 2"/>
    <w:basedOn w:val="Normal"/>
    <w:next w:val="Normal"/>
    <w:semiHidden/>
    <w:rsid w:val="00170176"/>
    <w:pPr>
      <w:tabs>
        <w:tab w:val="right" w:pos="4176"/>
      </w:tabs>
      <w:ind w:left="568" w:hanging="284"/>
    </w:pPr>
    <w:rPr>
      <w:rFonts w:ascii="Garamond" w:hAnsi="Garamond"/>
    </w:rPr>
  </w:style>
  <w:style w:type="paragraph" w:customStyle="1" w:styleId="Byline">
    <w:name w:val="Byline"/>
    <w:rsid w:val="001701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176"/>
    <w:pPr>
      <w:tabs>
        <w:tab w:val="clear" w:pos="3600"/>
        <w:tab w:val="clear" w:pos="3958"/>
      </w:tabs>
      <w:jc w:val="right"/>
    </w:pPr>
  </w:style>
  <w:style w:type="character" w:styleId="Emphasis">
    <w:name w:val="Emphasis"/>
    <w:basedOn w:val="DefaultParagraphFont"/>
    <w:qFormat/>
    <w:rsid w:val="00170176"/>
    <w:rPr>
      <w:i/>
    </w:rPr>
  </w:style>
  <w:style w:type="paragraph" w:styleId="Caption">
    <w:name w:val="caption"/>
    <w:basedOn w:val="BodyText"/>
    <w:next w:val="Normal"/>
    <w:qFormat/>
    <w:rsid w:val="00170176"/>
    <w:pPr>
      <w:framePr w:w="2268" w:hSpace="181" w:vSpace="181" w:wrap="around" w:vAnchor="text" w:hAnchor="page" w:x="1135" w:y="285" w:anchorLock="1"/>
    </w:pPr>
    <w:rPr>
      <w:i/>
    </w:rPr>
  </w:style>
  <w:style w:type="paragraph" w:customStyle="1" w:styleId="MiniTOCTitle">
    <w:name w:val="MiniTOCTitle"/>
    <w:basedOn w:val="Heading4"/>
    <w:rsid w:val="00170176"/>
    <w:pPr>
      <w:spacing w:before="240"/>
      <w:outlineLvl w:val="9"/>
    </w:pPr>
    <w:rPr>
      <w:noProof/>
      <w:sz w:val="24"/>
    </w:rPr>
  </w:style>
  <w:style w:type="paragraph" w:customStyle="1" w:styleId="MiniTOCItem">
    <w:name w:val="MiniTOCItem"/>
    <w:basedOn w:val="ListBullet"/>
    <w:rsid w:val="00170176"/>
    <w:pPr>
      <w:numPr>
        <w:numId w:val="0"/>
      </w:numPr>
      <w:tabs>
        <w:tab w:val="right" w:leader="dot" w:pos="6521"/>
      </w:tabs>
      <w:spacing w:before="0" w:after="0"/>
    </w:pPr>
  </w:style>
  <w:style w:type="paragraph" w:customStyle="1" w:styleId="TOFTitle">
    <w:name w:val="TOFTitle"/>
    <w:basedOn w:val="TOCTitle"/>
    <w:rsid w:val="00170176"/>
  </w:style>
  <w:style w:type="paragraph" w:styleId="TableofFigures">
    <w:name w:val="table of figures"/>
    <w:basedOn w:val="Normal"/>
    <w:next w:val="Normal"/>
    <w:semiHidden/>
    <w:rsid w:val="00170176"/>
    <w:pPr>
      <w:tabs>
        <w:tab w:val="right" w:leader="dot" w:pos="9072"/>
      </w:tabs>
      <w:ind w:left="970" w:hanging="403"/>
    </w:pPr>
    <w:rPr>
      <w:rFonts w:ascii="Times New Roman" w:hAnsi="Times New Roman"/>
      <w:b/>
    </w:rPr>
  </w:style>
  <w:style w:type="paragraph" w:styleId="ListNumber">
    <w:name w:val="List Number"/>
    <w:basedOn w:val="List"/>
    <w:rsid w:val="00170176"/>
    <w:pPr>
      <w:numPr>
        <w:numId w:val="15"/>
      </w:numPr>
      <w:tabs>
        <w:tab w:val="clear" w:pos="340"/>
      </w:tabs>
    </w:pPr>
  </w:style>
  <w:style w:type="character" w:customStyle="1" w:styleId="WingdingSymbols">
    <w:name w:val="Wingding Symbols"/>
    <w:rsid w:val="00170176"/>
    <w:rPr>
      <w:rFonts w:ascii="Wingdings" w:hAnsi="Wingdings"/>
    </w:rPr>
  </w:style>
  <w:style w:type="paragraph" w:customStyle="1" w:styleId="TableHeading">
    <w:name w:val="Table Heading"/>
    <w:basedOn w:val="HeadingBase"/>
    <w:rsid w:val="00170176"/>
    <w:pPr>
      <w:keepLines/>
      <w:pBdr>
        <w:bottom w:val="single" w:sz="6" w:space="1" w:color="918585"/>
      </w:pBdr>
      <w:spacing w:before="240"/>
    </w:pPr>
  </w:style>
  <w:style w:type="character" w:customStyle="1" w:styleId="HotSpot">
    <w:name w:val="HotSpot"/>
    <w:rsid w:val="00170176"/>
    <w:rPr>
      <w:color w:val="0033CC"/>
      <w:u w:val="none"/>
    </w:rPr>
  </w:style>
  <w:style w:type="paragraph" w:customStyle="1" w:styleId="BodyTextRight">
    <w:name w:val="Body Text Right"/>
    <w:basedOn w:val="BodyText"/>
    <w:rsid w:val="00170176"/>
    <w:pPr>
      <w:spacing w:before="0" w:after="0"/>
      <w:jc w:val="right"/>
    </w:pPr>
  </w:style>
  <w:style w:type="paragraph" w:styleId="Index3">
    <w:name w:val="index 3"/>
    <w:basedOn w:val="ListNumber2"/>
    <w:next w:val="Normal"/>
    <w:semiHidden/>
    <w:rsid w:val="00170176"/>
    <w:pPr>
      <w:numPr>
        <w:numId w:val="0"/>
      </w:numPr>
      <w:tabs>
        <w:tab w:val="right" w:leader="dot" w:pos="4176"/>
      </w:tabs>
    </w:pPr>
  </w:style>
  <w:style w:type="paragraph" w:styleId="ListNumber2">
    <w:name w:val="List Number 2"/>
    <w:basedOn w:val="List2"/>
    <w:rsid w:val="00170176"/>
    <w:pPr>
      <w:numPr>
        <w:numId w:val="10"/>
      </w:numPr>
      <w:tabs>
        <w:tab w:val="clear" w:pos="1060"/>
      </w:tabs>
    </w:pPr>
  </w:style>
  <w:style w:type="paragraph" w:customStyle="1" w:styleId="MarginNote">
    <w:name w:val="Margin Note"/>
    <w:basedOn w:val="BodyText"/>
    <w:rsid w:val="001701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1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1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176"/>
    <w:rPr>
      <w:sz w:val="32"/>
    </w:rPr>
  </w:style>
  <w:style w:type="paragraph" w:customStyle="1" w:styleId="HeadingProcedure">
    <w:name w:val="Heading Procedure"/>
    <w:basedOn w:val="HeadingBase"/>
    <w:next w:val="Normal"/>
    <w:rsid w:val="00170176"/>
    <w:pPr>
      <w:tabs>
        <w:tab w:val="left" w:pos="0"/>
      </w:tabs>
      <w:spacing w:before="120" w:after="60"/>
    </w:pPr>
    <w:rPr>
      <w:i/>
      <w:color w:val="918585"/>
      <w:sz w:val="22"/>
    </w:rPr>
  </w:style>
  <w:style w:type="paragraph" w:customStyle="1" w:styleId="TableBodyText">
    <w:name w:val="Table Body Text"/>
    <w:basedOn w:val="BodyText"/>
    <w:rsid w:val="00170176"/>
    <w:pPr>
      <w:spacing w:before="60" w:after="60"/>
    </w:pPr>
  </w:style>
  <w:style w:type="paragraph" w:styleId="ListContinue">
    <w:name w:val="List Continue"/>
    <w:basedOn w:val="List"/>
    <w:rsid w:val="00170176"/>
    <w:pPr>
      <w:ind w:firstLine="0"/>
    </w:pPr>
  </w:style>
  <w:style w:type="paragraph" w:customStyle="1" w:styleId="ListNote">
    <w:name w:val="List Note"/>
    <w:basedOn w:val="List"/>
    <w:rsid w:val="00170176"/>
    <w:pPr>
      <w:pBdr>
        <w:top w:val="single" w:sz="6" w:space="2" w:color="918585"/>
        <w:bottom w:val="single" w:sz="6" w:space="2" w:color="918585"/>
      </w:pBdr>
      <w:tabs>
        <w:tab w:val="left" w:pos="1021"/>
      </w:tabs>
      <w:ind w:firstLine="0"/>
    </w:pPr>
  </w:style>
  <w:style w:type="paragraph" w:customStyle="1" w:styleId="Warning">
    <w:name w:val="Warning"/>
    <w:basedOn w:val="BodyText"/>
    <w:rsid w:val="00170176"/>
    <w:pPr>
      <w:shd w:val="clear" w:color="auto" w:fill="D9D9D9"/>
      <w:tabs>
        <w:tab w:val="left" w:pos="992"/>
      </w:tabs>
      <w:ind w:left="119" w:right="119"/>
    </w:pPr>
    <w:rPr>
      <w:sz w:val="20"/>
    </w:rPr>
  </w:style>
  <w:style w:type="paragraph" w:customStyle="1" w:styleId="MarginIcons">
    <w:name w:val="Margin Icons"/>
    <w:basedOn w:val="BodyText"/>
    <w:rsid w:val="001701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176"/>
    <w:rPr>
      <w:rFonts w:ascii="Courier New" w:hAnsi="Courier New"/>
    </w:rPr>
  </w:style>
  <w:style w:type="paragraph" w:customStyle="1" w:styleId="NoteBullet">
    <w:name w:val="Note Bullet"/>
    <w:basedOn w:val="Note"/>
    <w:rsid w:val="00170176"/>
    <w:pPr>
      <w:tabs>
        <w:tab w:val="clear" w:pos="680"/>
      </w:tabs>
      <w:spacing w:before="60" w:after="60"/>
    </w:pPr>
  </w:style>
  <w:style w:type="paragraph" w:customStyle="1" w:styleId="SubHeading2">
    <w:name w:val="SubHeading2"/>
    <w:basedOn w:val="HeadingBase"/>
    <w:rsid w:val="00170176"/>
    <w:pPr>
      <w:spacing w:before="240" w:after="60"/>
    </w:pPr>
    <w:rPr>
      <w:sz w:val="20"/>
    </w:rPr>
  </w:style>
  <w:style w:type="paragraph" w:customStyle="1" w:styleId="SubHeading1">
    <w:name w:val="SubHeading1"/>
    <w:basedOn w:val="HeadingBase"/>
    <w:rsid w:val="00170176"/>
    <w:pPr>
      <w:spacing w:before="240" w:after="60"/>
    </w:pPr>
    <w:rPr>
      <w:color w:val="918585"/>
      <w:sz w:val="22"/>
    </w:rPr>
  </w:style>
  <w:style w:type="paragraph" w:customStyle="1" w:styleId="SideHeading">
    <w:name w:val="Side Heading"/>
    <w:basedOn w:val="HeadingBase"/>
    <w:rsid w:val="001701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176"/>
    <w:pPr>
      <w:tabs>
        <w:tab w:val="num" w:pos="360"/>
      </w:tabs>
    </w:pPr>
  </w:style>
  <w:style w:type="paragraph" w:styleId="PlainText">
    <w:name w:val="Plain Text"/>
    <w:basedOn w:val="Normal"/>
    <w:link w:val="PlainTextChar"/>
    <w:rsid w:val="00170176"/>
    <w:rPr>
      <w:sz w:val="20"/>
    </w:rPr>
  </w:style>
  <w:style w:type="character" w:customStyle="1" w:styleId="PlainTextChar">
    <w:name w:val="Plain Text Char"/>
    <w:basedOn w:val="DefaultParagraphFont"/>
    <w:link w:val="PlainText"/>
    <w:rsid w:val="00170176"/>
    <w:rPr>
      <w:rFonts w:ascii="Courier New" w:eastAsia="Times New Roman" w:hAnsi="Courier New" w:cs="Times New Roman"/>
      <w:sz w:val="20"/>
      <w:szCs w:val="20"/>
      <w:lang w:eastAsia="en-US"/>
    </w:rPr>
  </w:style>
  <w:style w:type="character" w:customStyle="1" w:styleId="MenuOption">
    <w:name w:val="Menu Option"/>
    <w:basedOn w:val="DefaultParagraphFont"/>
    <w:rsid w:val="00170176"/>
    <w:rPr>
      <w:b/>
      <w:smallCaps/>
    </w:rPr>
  </w:style>
  <w:style w:type="paragraph" w:customStyle="1" w:styleId="TableListNumber">
    <w:name w:val="Table List Number"/>
    <w:basedOn w:val="ListNumber"/>
    <w:rsid w:val="00170176"/>
    <w:pPr>
      <w:numPr>
        <w:numId w:val="0"/>
      </w:numPr>
    </w:pPr>
  </w:style>
  <w:style w:type="paragraph" w:styleId="TOC4">
    <w:name w:val="toc 4"/>
    <w:basedOn w:val="TOCBase"/>
    <w:next w:val="Normal"/>
    <w:semiHidden/>
    <w:rsid w:val="00170176"/>
    <w:pPr>
      <w:tabs>
        <w:tab w:val="right" w:leader="dot" w:pos="9071"/>
      </w:tabs>
      <w:ind w:left="1701"/>
    </w:pPr>
  </w:style>
  <w:style w:type="paragraph" w:customStyle="1" w:styleId="ListAlpha">
    <w:name w:val="List Alpha"/>
    <w:basedOn w:val="List"/>
    <w:rsid w:val="00170176"/>
    <w:pPr>
      <w:numPr>
        <w:numId w:val="9"/>
      </w:numPr>
    </w:pPr>
  </w:style>
  <w:style w:type="paragraph" w:customStyle="1" w:styleId="ListAlpha2">
    <w:name w:val="List Alpha 2"/>
    <w:basedOn w:val="List2"/>
    <w:rsid w:val="00170176"/>
    <w:pPr>
      <w:numPr>
        <w:numId w:val="8"/>
      </w:numPr>
    </w:pPr>
  </w:style>
  <w:style w:type="paragraph" w:styleId="List2">
    <w:name w:val="List 2"/>
    <w:basedOn w:val="BodyText"/>
    <w:rsid w:val="00170176"/>
    <w:pPr>
      <w:tabs>
        <w:tab w:val="left" w:pos="680"/>
      </w:tabs>
      <w:spacing w:before="60" w:after="60"/>
      <w:ind w:left="680" w:hanging="340"/>
    </w:pPr>
  </w:style>
  <w:style w:type="paragraph" w:styleId="List3">
    <w:name w:val="List 3"/>
    <w:basedOn w:val="BodyText"/>
    <w:rsid w:val="00170176"/>
    <w:pPr>
      <w:tabs>
        <w:tab w:val="left" w:pos="1021"/>
      </w:tabs>
      <w:spacing w:before="60" w:after="60"/>
      <w:ind w:left="1020" w:hanging="340"/>
    </w:pPr>
  </w:style>
  <w:style w:type="paragraph" w:styleId="List4">
    <w:name w:val="List 4"/>
    <w:basedOn w:val="BodyText"/>
    <w:rsid w:val="00170176"/>
    <w:pPr>
      <w:tabs>
        <w:tab w:val="left" w:pos="1361"/>
      </w:tabs>
      <w:spacing w:before="60" w:after="60"/>
      <w:ind w:left="1361" w:hanging="340"/>
    </w:pPr>
  </w:style>
  <w:style w:type="paragraph" w:styleId="List5">
    <w:name w:val="List 5"/>
    <w:basedOn w:val="BodyText"/>
    <w:rsid w:val="00170176"/>
    <w:pPr>
      <w:tabs>
        <w:tab w:val="left" w:pos="1701"/>
      </w:tabs>
      <w:spacing w:before="60" w:after="60"/>
      <w:ind w:left="1701" w:hanging="340"/>
    </w:pPr>
  </w:style>
  <w:style w:type="paragraph" w:styleId="ListBullet3">
    <w:name w:val="List Bullet 3"/>
    <w:basedOn w:val="List3"/>
    <w:rsid w:val="00170176"/>
    <w:pPr>
      <w:numPr>
        <w:numId w:val="14"/>
      </w:numPr>
      <w:tabs>
        <w:tab w:val="clear" w:pos="1021"/>
      </w:tabs>
      <w:ind w:left="1037" w:hanging="357"/>
    </w:pPr>
  </w:style>
  <w:style w:type="paragraph" w:styleId="ListBullet4">
    <w:name w:val="List Bullet 4"/>
    <w:basedOn w:val="List4"/>
    <w:rsid w:val="00170176"/>
    <w:pPr>
      <w:numPr>
        <w:numId w:val="3"/>
      </w:numPr>
      <w:tabs>
        <w:tab w:val="clear" w:pos="1361"/>
      </w:tabs>
    </w:pPr>
  </w:style>
  <w:style w:type="paragraph" w:styleId="ListBullet5">
    <w:name w:val="List Bullet 5"/>
    <w:basedOn w:val="List5"/>
    <w:rsid w:val="00170176"/>
    <w:pPr>
      <w:numPr>
        <w:numId w:val="4"/>
      </w:numPr>
    </w:pPr>
  </w:style>
  <w:style w:type="paragraph" w:styleId="ListContinue2">
    <w:name w:val="List Continue 2"/>
    <w:basedOn w:val="List2"/>
    <w:rsid w:val="00170176"/>
    <w:pPr>
      <w:ind w:firstLine="0"/>
    </w:pPr>
  </w:style>
  <w:style w:type="paragraph" w:styleId="ListContinue3">
    <w:name w:val="List Continue 3"/>
    <w:basedOn w:val="List3"/>
    <w:rsid w:val="00170176"/>
    <w:pPr>
      <w:ind w:left="1021" w:firstLine="0"/>
    </w:pPr>
  </w:style>
  <w:style w:type="paragraph" w:styleId="ListContinue4">
    <w:name w:val="List Continue 4"/>
    <w:basedOn w:val="List4"/>
    <w:rsid w:val="00170176"/>
    <w:pPr>
      <w:ind w:firstLine="0"/>
    </w:pPr>
  </w:style>
  <w:style w:type="paragraph" w:styleId="ListContinue5">
    <w:name w:val="List Continue 5"/>
    <w:basedOn w:val="List5"/>
    <w:rsid w:val="00170176"/>
    <w:pPr>
      <w:ind w:firstLine="0"/>
    </w:pPr>
  </w:style>
  <w:style w:type="paragraph" w:styleId="ListNumber3">
    <w:name w:val="List Number 3"/>
    <w:basedOn w:val="List3"/>
    <w:rsid w:val="00170176"/>
    <w:pPr>
      <w:numPr>
        <w:numId w:val="5"/>
      </w:numPr>
    </w:pPr>
  </w:style>
  <w:style w:type="paragraph" w:styleId="ListNumber4">
    <w:name w:val="List Number 4"/>
    <w:basedOn w:val="List4"/>
    <w:rsid w:val="00170176"/>
    <w:pPr>
      <w:numPr>
        <w:numId w:val="6"/>
      </w:numPr>
    </w:pPr>
  </w:style>
  <w:style w:type="paragraph" w:styleId="ListNumber5">
    <w:name w:val="List Number 5"/>
    <w:basedOn w:val="List5"/>
    <w:rsid w:val="00170176"/>
    <w:pPr>
      <w:numPr>
        <w:numId w:val="7"/>
      </w:numPr>
    </w:pPr>
  </w:style>
  <w:style w:type="paragraph" w:styleId="BlockText">
    <w:name w:val="Block Text"/>
    <w:basedOn w:val="Normal"/>
    <w:rsid w:val="00170176"/>
    <w:pPr>
      <w:spacing w:after="120"/>
      <w:ind w:left="1440" w:right="1440"/>
    </w:pPr>
  </w:style>
  <w:style w:type="character" w:customStyle="1" w:styleId="Subscript">
    <w:name w:val="Subscript"/>
    <w:basedOn w:val="DefaultParagraphFont"/>
    <w:rsid w:val="00170176"/>
    <w:rPr>
      <w:sz w:val="16"/>
      <w:vertAlign w:val="subscript"/>
    </w:rPr>
  </w:style>
  <w:style w:type="character" w:customStyle="1" w:styleId="Superscript">
    <w:name w:val="Superscript"/>
    <w:basedOn w:val="DefaultParagraphFont"/>
    <w:rsid w:val="00170176"/>
    <w:rPr>
      <w:sz w:val="16"/>
      <w:vertAlign w:val="superscript"/>
    </w:rPr>
  </w:style>
  <w:style w:type="character" w:customStyle="1" w:styleId="Symbols">
    <w:name w:val="Symbols"/>
    <w:basedOn w:val="DefaultParagraphFont"/>
    <w:rsid w:val="00170176"/>
    <w:rPr>
      <w:rFonts w:ascii="Symbol" w:hAnsi="Symbol"/>
    </w:rPr>
  </w:style>
  <w:style w:type="character" w:customStyle="1" w:styleId="MenuOptions">
    <w:name w:val="Menu Options"/>
    <w:basedOn w:val="DefaultParagraphFont"/>
    <w:rsid w:val="00170176"/>
    <w:rPr>
      <w:rFonts w:ascii="Arial Narrow" w:hAnsi="Arial Narrow"/>
      <w:smallCaps/>
    </w:rPr>
  </w:style>
  <w:style w:type="character" w:customStyle="1" w:styleId="Buttons">
    <w:name w:val="Buttons"/>
    <w:basedOn w:val="DefaultParagraphFont"/>
    <w:rsid w:val="00170176"/>
    <w:rPr>
      <w:b/>
    </w:rPr>
  </w:style>
  <w:style w:type="character" w:customStyle="1" w:styleId="Underlined">
    <w:name w:val="Underlined"/>
    <w:basedOn w:val="DefaultParagraphFont"/>
    <w:rsid w:val="00170176"/>
    <w:rPr>
      <w:u w:val="single"/>
    </w:rPr>
  </w:style>
  <w:style w:type="paragraph" w:customStyle="1" w:styleId="TableBodyTextRight">
    <w:name w:val="Table Body Text Right"/>
    <w:basedOn w:val="TableBodyText"/>
    <w:rsid w:val="00170176"/>
    <w:pPr>
      <w:widowControl w:val="0"/>
      <w:autoSpaceDE w:val="0"/>
      <w:autoSpaceDN w:val="0"/>
      <w:adjustRightInd w:val="0"/>
      <w:jc w:val="right"/>
    </w:pPr>
    <w:rPr>
      <w:rFonts w:cs="Arial"/>
      <w:szCs w:val="18"/>
    </w:rPr>
  </w:style>
  <w:style w:type="paragraph" w:customStyle="1" w:styleId="CopyrightText">
    <w:name w:val="Copyright Text"/>
    <w:basedOn w:val="BodyText"/>
    <w:rsid w:val="00170176"/>
    <w:rPr>
      <w:sz w:val="18"/>
    </w:rPr>
  </w:style>
  <w:style w:type="paragraph" w:customStyle="1" w:styleId="BodySmallRight">
    <w:name w:val="Body Small Right"/>
    <w:basedOn w:val="BodyTextRight"/>
    <w:rsid w:val="00170176"/>
    <w:rPr>
      <w:sz w:val="18"/>
      <w:szCs w:val="18"/>
    </w:rPr>
  </w:style>
  <w:style w:type="paragraph" w:customStyle="1" w:styleId="MarginEdition">
    <w:name w:val="Margin Edition"/>
    <w:basedOn w:val="MarginNote"/>
    <w:rsid w:val="00170176"/>
    <w:pPr>
      <w:spacing w:before="0" w:after="0"/>
    </w:pPr>
    <w:rPr>
      <w:rFonts w:ascii="Times New Roman" w:hAnsi="Times New Roman"/>
      <w:color w:val="999999"/>
    </w:rPr>
  </w:style>
  <w:style w:type="paragraph" w:customStyle="1" w:styleId="Spacer">
    <w:name w:val="Spacer"/>
    <w:basedOn w:val="Normal"/>
    <w:rsid w:val="00170176"/>
    <w:rPr>
      <w:sz w:val="2"/>
      <w:szCs w:val="2"/>
    </w:rPr>
  </w:style>
  <w:style w:type="character" w:customStyle="1" w:styleId="Small">
    <w:name w:val="Small"/>
    <w:basedOn w:val="DefaultParagraphFont"/>
    <w:rsid w:val="00170176"/>
    <w:rPr>
      <w:sz w:val="16"/>
    </w:rPr>
  </w:style>
  <w:style w:type="paragraph" w:customStyle="1" w:styleId="WideTable">
    <w:name w:val="Wide Table"/>
    <w:basedOn w:val="Normal"/>
    <w:rsid w:val="00170176"/>
    <w:pPr>
      <w:ind w:left="-1418"/>
    </w:pPr>
    <w:rPr>
      <w:sz w:val="2"/>
      <w:szCs w:val="2"/>
    </w:rPr>
  </w:style>
  <w:style w:type="character" w:styleId="PageNumber">
    <w:name w:val="page number"/>
    <w:basedOn w:val="DefaultParagraphFont"/>
    <w:rsid w:val="00170176"/>
  </w:style>
  <w:style w:type="paragraph" w:styleId="Quote">
    <w:name w:val="Quote"/>
    <w:basedOn w:val="Heading1"/>
    <w:link w:val="QuoteChar"/>
    <w:qFormat/>
    <w:rsid w:val="00170176"/>
    <w:rPr>
      <w:b w:val="0"/>
      <w:sz w:val="72"/>
      <w:szCs w:val="72"/>
      <w:lang w:val="en-NZ"/>
    </w:rPr>
  </w:style>
  <w:style w:type="character" w:customStyle="1" w:styleId="QuoteChar">
    <w:name w:val="Quote Char"/>
    <w:basedOn w:val="DefaultParagraphFont"/>
    <w:link w:val="Quote"/>
    <w:rsid w:val="001701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176"/>
    <w:pPr>
      <w:pageBreakBefore/>
    </w:pPr>
  </w:style>
  <w:style w:type="paragraph" w:customStyle="1" w:styleId="Border">
    <w:name w:val="Border"/>
    <w:basedOn w:val="Normal"/>
    <w:qFormat/>
    <w:rsid w:val="001701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176"/>
    <w:rPr>
      <w:b/>
      <w:bCs/>
      <w:i/>
      <w:iCs/>
      <w:color w:val="auto"/>
    </w:rPr>
  </w:style>
  <w:style w:type="paragraph" w:styleId="IntenseQuote">
    <w:name w:val="Intense Quote"/>
    <w:basedOn w:val="Normal"/>
    <w:next w:val="Normal"/>
    <w:link w:val="IntenseQuoteChar"/>
    <w:uiPriority w:val="30"/>
    <w:qFormat/>
    <w:rsid w:val="001701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1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176"/>
    <w:rPr>
      <w:smallCaps/>
      <w:color w:val="auto"/>
      <w:u w:val="single"/>
    </w:rPr>
  </w:style>
  <w:style w:type="character" w:styleId="IntenseReference">
    <w:name w:val="Intense Reference"/>
    <w:basedOn w:val="DefaultParagraphFont"/>
    <w:uiPriority w:val="32"/>
    <w:qFormat/>
    <w:rsid w:val="00170176"/>
    <w:rPr>
      <w:b/>
      <w:bCs/>
      <w:smallCaps/>
      <w:color w:val="auto"/>
      <w:spacing w:val="5"/>
      <w:u w:val="single"/>
    </w:rPr>
  </w:style>
  <w:style w:type="paragraph" w:customStyle="1" w:styleId="2ColumnHeading">
    <w:name w:val="2Column Heading"/>
    <w:basedOn w:val="BodyText"/>
    <w:qFormat/>
    <w:rsid w:val="00170176"/>
    <w:pPr>
      <w:spacing w:after="60"/>
      <w:ind w:left="-2268"/>
    </w:pPr>
    <w:rPr>
      <w:b/>
    </w:rPr>
  </w:style>
  <w:style w:type="paragraph" w:customStyle="1" w:styleId="Heading1TOC">
    <w:name w:val="Heading1 TOC"/>
    <w:basedOn w:val="Normal"/>
    <w:qFormat/>
    <w:rsid w:val="00170176"/>
    <w:pPr>
      <w:spacing w:before="240" w:after="120"/>
    </w:pPr>
    <w:rPr>
      <w:rFonts w:ascii="Times New Roman" w:hAnsi="Times New Roman"/>
      <w:b/>
      <w:sz w:val="32"/>
    </w:rPr>
  </w:style>
  <w:style w:type="paragraph" w:customStyle="1" w:styleId="Heading2TOC">
    <w:name w:val="Heading2 TOC"/>
    <w:basedOn w:val="Normal"/>
    <w:qFormat/>
    <w:rsid w:val="00170176"/>
    <w:pPr>
      <w:spacing w:before="240" w:after="60"/>
    </w:pPr>
    <w:rPr>
      <w:rFonts w:ascii="Times New Roman" w:hAnsi="Times New Roman"/>
      <w:b/>
      <w:sz w:val="28"/>
    </w:rPr>
  </w:style>
  <w:style w:type="character" w:customStyle="1" w:styleId="Underline">
    <w:name w:val="Underline"/>
    <w:basedOn w:val="DefaultParagraphFont"/>
    <w:qFormat/>
    <w:rsid w:val="00170176"/>
    <w:rPr>
      <w:u w:val="single"/>
    </w:rPr>
  </w:style>
  <w:style w:type="paragraph" w:styleId="BalloonText">
    <w:name w:val="Balloon Text"/>
    <w:basedOn w:val="Normal"/>
    <w:link w:val="BalloonTextChar"/>
    <w:rsid w:val="00170176"/>
    <w:rPr>
      <w:rFonts w:ascii="Tahoma" w:hAnsi="Tahoma" w:cs="Tahoma"/>
      <w:sz w:val="16"/>
      <w:szCs w:val="16"/>
    </w:rPr>
  </w:style>
  <w:style w:type="character" w:customStyle="1" w:styleId="BalloonTextChar">
    <w:name w:val="Balloon Text Char"/>
    <w:basedOn w:val="DefaultParagraphFont"/>
    <w:link w:val="BalloonText"/>
    <w:rsid w:val="001701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1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1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176"/>
    <w:rPr>
      <w:b/>
      <w:color w:val="660033"/>
      <w:spacing w:val="0"/>
    </w:rPr>
  </w:style>
  <w:style w:type="paragraph" w:customStyle="1" w:styleId="Nameditemlist">
    <w:name w:val="Named item list"/>
    <w:basedOn w:val="BodyText"/>
    <w:qFormat/>
    <w:rsid w:val="00170176"/>
    <w:pPr>
      <w:tabs>
        <w:tab w:val="left" w:pos="2835"/>
      </w:tabs>
      <w:ind w:left="2835" w:hanging="2835"/>
    </w:pPr>
  </w:style>
  <w:style w:type="paragraph" w:customStyle="1" w:styleId="BodyTextnopadding">
    <w:name w:val="Body Text no padding"/>
    <w:basedOn w:val="BodyText"/>
    <w:qFormat/>
    <w:rsid w:val="00170176"/>
    <w:pPr>
      <w:spacing w:before="0" w:after="0"/>
    </w:pPr>
  </w:style>
  <w:style w:type="paragraph" w:customStyle="1" w:styleId="BodyTextBold">
    <w:name w:val="Body Text Bold"/>
    <w:basedOn w:val="BodyText"/>
    <w:qFormat/>
    <w:rsid w:val="00170176"/>
    <w:rPr>
      <w:b/>
    </w:rPr>
  </w:style>
  <w:style w:type="character" w:styleId="Hyperlink">
    <w:name w:val="Hyperlink"/>
    <w:basedOn w:val="DefaultParagraphFont"/>
    <w:uiPriority w:val="99"/>
    <w:unhideWhenUsed/>
    <w:rsid w:val="00780C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5737</Characters>
  <Application>Microsoft Office Word</Application>
  <DocSecurity>0</DocSecurity>
  <Lines>159</Lines>
  <Paragraphs>81</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SITHGAM001 Provide responsible gambling services</dc:title>
  <dc:subject>Approved</dc:subject>
  <dc:creator>SkillsIQ</dc:creator>
  <cp:keywords>Release: 1</cp:keywords>
  <dc:description>Review Date: 12 April 2008</dc:description>
  <cp:lastModifiedBy>HSD_TPCMSd.prod</cp:lastModifiedBy>
  <cp:revision>3</cp:revision>
  <dcterms:created xsi:type="dcterms:W3CDTF">2022-04-08T07:43:00Z</dcterms:created>
  <dcterms:modified xsi:type="dcterms:W3CDTF">2022-04-08T07:44:00Z</dcterms:modified>
</cp:coreProperties>
</file>