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E8B" w:rsidP="00F62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SITHGAM001 Provide responsible gambling services</w:t>
      </w:r>
      <w:r>
        <w:fldChar w:fldCharType="end"/>
      </w:r>
    </w:p>
    <w:p w:rsidR="00F62E8B" w:rsidP="00F62E8B">
      <w:pPr>
        <w:pStyle w:val="Version"/>
        <w:sectPr w:rsidSect="00893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0E0" w:rsidP="008930E0">
      <w:pPr>
        <w:pStyle w:val="SuperHeading"/>
      </w:pPr>
      <w:r w:rsidRPr="008930E0">
        <w:t>Assessment Requirements for SITHGAM001 Provide responsible gambling services</w:t>
      </w:r>
    </w:p>
    <w:p w:rsidR="00000000" w:rsidRPr="008930E0" w:rsidP="008930E0">
      <w:pPr>
        <w:pStyle w:val="Heading1"/>
      </w:pPr>
      <w:bookmarkStart w:id="1" w:name="O_762782"/>
      <w:bookmarkEnd w:id="1"/>
      <w:r w:rsidRPr="008930E0">
        <w:t>Modification History</w:t>
      </w:r>
    </w:p>
    <w:p w:rsidR="00000000" w:rsidRPr="008930E0" w:rsidP="00F62E8B">
      <w:pPr>
        <w:pStyle w:val="BodyText"/>
      </w:pPr>
      <w:r w:rsidRPr="008930E0">
        <w:t>Not applicable.</w:t>
      </w:r>
    </w:p>
    <w:p w:rsidR="00000000" w:rsidRPr="008930E0" w:rsidP="008930E0">
      <w:pPr>
        <w:pStyle w:val="Heading1"/>
      </w:pPr>
      <w:bookmarkStart w:id="2" w:name="O_762783"/>
      <w:bookmarkEnd w:id="2"/>
      <w:r w:rsidRPr="008930E0">
        <w:t>Performance Evidence</w:t>
      </w:r>
    </w:p>
    <w:p w:rsidR="00000000" w:rsidRPr="008930E0" w:rsidP="00F62E8B">
      <w:pPr>
        <w:pStyle w:val="BodyText"/>
      </w:pPr>
      <w:r w:rsidRPr="008930E0">
        <w:t>Evidence of the ability to complete t</w:t>
      </w:r>
      <w:r w:rsidRPr="008930E0">
        <w:t>asks outlined in elements and performance criteria of this unit in the context of the job role, and:</w:t>
      </w:r>
    </w:p>
    <w:p w:rsidR="00000000" w:rsidRPr="008930E0" w:rsidP="008930E0">
      <w:pPr>
        <w:pStyle w:val="ListBullet"/>
      </w:pPr>
      <w:r w:rsidRPr="008930E0">
        <w:t>identify appropriate organisational processes in response to each of the following gambling related situations:</w:t>
      </w:r>
    </w:p>
    <w:p w:rsidR="00000000" w:rsidRPr="008930E0" w:rsidP="008930E0">
      <w:pPr>
        <w:pStyle w:val="ListBullet2"/>
      </w:pPr>
      <w:r w:rsidRPr="008930E0">
        <w:t>customer request for self-exclusion or as</w:t>
      </w:r>
      <w:r w:rsidRPr="008930E0">
        <w:t>sistance</w:t>
      </w:r>
    </w:p>
    <w:p w:rsidR="00000000" w:rsidRPr="008930E0" w:rsidP="008930E0">
      <w:pPr>
        <w:pStyle w:val="ListBullet2"/>
      </w:pPr>
      <w:r w:rsidRPr="008930E0">
        <w:t>customer request for counselling services</w:t>
      </w:r>
    </w:p>
    <w:p w:rsidR="00000000" w:rsidRPr="008930E0" w:rsidP="008930E0">
      <w:pPr>
        <w:pStyle w:val="ListBullet2"/>
      </w:pPr>
      <w:r w:rsidRPr="008930E0">
        <w:t>venue exclusion of self-identified problem gambler</w:t>
      </w:r>
    </w:p>
    <w:p w:rsidR="00000000" w:rsidRPr="008930E0" w:rsidP="008930E0">
      <w:pPr>
        <w:pStyle w:val="ListBullet2"/>
      </w:pPr>
      <w:r w:rsidRPr="008930E0">
        <w:t>dealing with disputes or complaints</w:t>
      </w:r>
    </w:p>
    <w:p w:rsidR="00000000" w:rsidRPr="008930E0" w:rsidP="008930E0">
      <w:pPr>
        <w:pStyle w:val="ListBullet2"/>
      </w:pPr>
      <w:r w:rsidRPr="008930E0">
        <w:t>refusal of credit</w:t>
      </w:r>
    </w:p>
    <w:p w:rsidR="00000000" w:rsidRPr="008930E0" w:rsidP="008930E0">
      <w:pPr>
        <w:pStyle w:val="ListBullet2"/>
      </w:pPr>
      <w:r w:rsidRPr="008930E0">
        <w:t>under-age gambling</w:t>
      </w:r>
    </w:p>
    <w:p w:rsidR="00000000" w:rsidRPr="008930E0" w:rsidP="008930E0">
      <w:pPr>
        <w:pStyle w:val="ListBullet"/>
      </w:pPr>
      <w:r w:rsidRPr="008930E0">
        <w:t>follow organisational policies and procedures for implementing the following res</w:t>
      </w:r>
      <w:r w:rsidRPr="008930E0">
        <w:t xml:space="preserve">ponsible gambling practices: </w:t>
      </w:r>
    </w:p>
    <w:p w:rsidR="00000000" w:rsidRPr="008930E0" w:rsidP="008930E0">
      <w:pPr>
        <w:pStyle w:val="ListBullet2"/>
      </w:pPr>
      <w:r w:rsidRPr="008930E0">
        <w:t>provision and appropriate placement of signage, advertising and promotional materials and activities</w:t>
      </w:r>
    </w:p>
    <w:p w:rsidR="00000000" w:rsidRPr="008930E0" w:rsidP="008930E0">
      <w:pPr>
        <w:pStyle w:val="ListBullet2"/>
      </w:pPr>
      <w:r w:rsidRPr="008930E0">
        <w:t>use of strategies to indicate the passage of time</w:t>
      </w:r>
    </w:p>
    <w:p w:rsidR="00000000" w:rsidRPr="008930E0" w:rsidP="008930E0">
      <w:pPr>
        <w:pStyle w:val="ListBullet2"/>
      </w:pPr>
      <w:r w:rsidRPr="008930E0">
        <w:t>use of strategies that encourage breaks in play.</w:t>
      </w:r>
    </w:p>
    <w:p w:rsidR="00000000" w:rsidRPr="008930E0" w:rsidP="008930E0">
      <w:pPr>
        <w:pStyle w:val="AllowPageBreak"/>
      </w:pPr>
    </w:p>
    <w:p w:rsidR="00000000" w:rsidRPr="008930E0" w:rsidP="008930E0">
      <w:pPr>
        <w:pStyle w:val="Heading1"/>
      </w:pPr>
      <w:bookmarkStart w:id="3" w:name="O_762784"/>
      <w:bookmarkEnd w:id="3"/>
      <w:r w:rsidRPr="008930E0">
        <w:t>Knowledge Evidence</w:t>
      </w:r>
    </w:p>
    <w:p w:rsidR="00000000" w:rsidRPr="008930E0" w:rsidP="00F62E8B">
      <w:pPr>
        <w:pStyle w:val="BodyText"/>
      </w:pPr>
      <w:r w:rsidRPr="008930E0">
        <w:t>Demonstrated knowledge required to complete the tasks outlined in elements and performance criteria of this unit:</w:t>
      </w:r>
    </w:p>
    <w:p w:rsidR="00000000" w:rsidRPr="008930E0" w:rsidP="008930E0">
      <w:pPr>
        <w:pStyle w:val="ListBullet"/>
      </w:pPr>
      <w:r w:rsidRPr="008930E0">
        <w:t>current legislation and industry and organisational policies and procedures in regard to responsible provision of gambling</w:t>
      </w:r>
      <w:r w:rsidRPr="008930E0">
        <w:t xml:space="preserve"> services </w:t>
      </w:r>
    </w:p>
    <w:p w:rsidR="00000000" w:rsidRPr="008930E0" w:rsidP="008930E0">
      <w:pPr>
        <w:pStyle w:val="ListBullet"/>
      </w:pPr>
      <w:r w:rsidRPr="008930E0">
        <w:t>indicators of problem gambling:</w:t>
      </w:r>
    </w:p>
    <w:p w:rsidR="00000000" w:rsidRPr="008930E0" w:rsidP="008930E0">
      <w:pPr>
        <w:pStyle w:val="ListBullet2"/>
      </w:pPr>
      <w:r w:rsidRPr="008930E0">
        <w:t>bills that cannot be paid by the player due to excessive gambling</w:t>
      </w:r>
    </w:p>
    <w:p w:rsidR="00000000" w:rsidRPr="008930E0" w:rsidP="008930E0">
      <w:pPr>
        <w:pStyle w:val="ListBullet2"/>
      </w:pPr>
      <w:r w:rsidRPr="008930E0">
        <w:t>borrowing money to gamble</w:t>
      </w:r>
    </w:p>
    <w:p w:rsidR="00000000" w:rsidRPr="008930E0" w:rsidP="008930E0">
      <w:pPr>
        <w:pStyle w:val="ListBullet2"/>
      </w:pPr>
      <w:r w:rsidRPr="008930E0">
        <w:t>changes in sleeping or eating habits due to gambling</w:t>
      </w:r>
    </w:p>
    <w:p w:rsidR="00000000" w:rsidRPr="008930E0" w:rsidP="008930E0">
      <w:pPr>
        <w:pStyle w:val="ListBullet2"/>
      </w:pPr>
      <w:r w:rsidRPr="008930E0">
        <w:t>committing illegal acts to finance gambling</w:t>
      </w:r>
    </w:p>
    <w:p w:rsidR="00000000" w:rsidRPr="008930E0" w:rsidP="008930E0">
      <w:pPr>
        <w:pStyle w:val="ListBullet2"/>
      </w:pPr>
      <w:r w:rsidRPr="008930E0">
        <w:t>considering self-harm a</w:t>
      </w:r>
      <w:r w:rsidRPr="008930E0">
        <w:t>s a result of gambling</w:t>
      </w:r>
    </w:p>
    <w:p w:rsidR="00000000" w:rsidRPr="008930E0" w:rsidP="008930E0">
      <w:pPr>
        <w:pStyle w:val="ListBullet2"/>
      </w:pPr>
      <w:r w:rsidRPr="008930E0">
        <w:t>feelings of remorse after gambling</w:t>
      </w:r>
    </w:p>
    <w:p w:rsidR="00000000" w:rsidRPr="008930E0" w:rsidP="008930E0">
      <w:pPr>
        <w:pStyle w:val="ListBullet2"/>
      </w:pPr>
      <w:r w:rsidRPr="008930E0">
        <w:t>gambling more money than the player can afford</w:t>
      </w:r>
    </w:p>
    <w:p w:rsidR="00000000" w:rsidRPr="008930E0" w:rsidP="008930E0">
      <w:pPr>
        <w:pStyle w:val="ListBullet2"/>
      </w:pPr>
      <w:r w:rsidRPr="008930E0">
        <w:t>gambling that makes the home life of the player unhappy</w:t>
      </w:r>
    </w:p>
    <w:p w:rsidR="00000000" w:rsidRPr="008930E0" w:rsidP="008930E0">
      <w:pPr>
        <w:pStyle w:val="ListBullet2"/>
      </w:pPr>
      <w:r w:rsidRPr="008930E0">
        <w:t>gambling to escape worry or personal problems</w:t>
      </w:r>
    </w:p>
    <w:p w:rsidR="00000000" w:rsidRPr="008930E0" w:rsidP="008930E0">
      <w:pPr>
        <w:pStyle w:val="ListBullet2"/>
      </w:pPr>
      <w:r w:rsidRPr="008930E0">
        <w:t>trying to win back gambling losses</w:t>
      </w:r>
    </w:p>
    <w:p w:rsidR="00000000" w:rsidRPr="008930E0" w:rsidP="008930E0">
      <w:pPr>
        <w:pStyle w:val="ListBullet"/>
      </w:pPr>
      <w:r w:rsidRPr="008930E0">
        <w:t>public interest reasons for implementing responsible service of gambling practices:</w:t>
      </w:r>
    </w:p>
    <w:p w:rsidR="00000000" w:rsidRPr="008930E0" w:rsidP="008930E0">
      <w:pPr>
        <w:pStyle w:val="ListBullet2"/>
      </w:pPr>
      <w:r w:rsidRPr="008930E0">
        <w:t>government and community concerns with problem gambling</w:t>
      </w:r>
    </w:p>
    <w:p w:rsidR="00000000" w:rsidRPr="008930E0" w:rsidP="008930E0">
      <w:pPr>
        <w:pStyle w:val="ListBullet2"/>
      </w:pPr>
      <w:r w:rsidRPr="008930E0">
        <w:t>economic costs of problem gambling</w:t>
      </w:r>
    </w:p>
    <w:p w:rsidR="00000000" w:rsidRPr="008930E0" w:rsidP="008930E0">
      <w:pPr>
        <w:pStyle w:val="ListBullet"/>
      </w:pPr>
      <w:r w:rsidRPr="008930E0">
        <w:t>principles of harm minimisation and strategies to reduce the harm associated wi</w:t>
      </w:r>
      <w:r w:rsidRPr="008930E0">
        <w:t>th problem gambling:</w:t>
      </w:r>
    </w:p>
    <w:p w:rsidR="00000000" w:rsidRPr="008930E0" w:rsidP="008930E0">
      <w:pPr>
        <w:pStyle w:val="ListBullet2"/>
      </w:pPr>
      <w:r w:rsidRPr="008930E0">
        <w:t>containing gambling-related signage to inside the venue</w:t>
      </w:r>
    </w:p>
    <w:p w:rsidR="00000000" w:rsidRPr="008930E0" w:rsidP="008930E0">
      <w:pPr>
        <w:pStyle w:val="ListBullet2"/>
      </w:pPr>
      <w:r w:rsidRPr="008930E0">
        <w:t>positioning clocks with the correct time in visible locations in gaming machine areas</w:t>
      </w:r>
    </w:p>
    <w:p w:rsidR="00000000" w:rsidRPr="008930E0" w:rsidP="008930E0">
      <w:pPr>
        <w:pStyle w:val="ListBullet2"/>
      </w:pPr>
      <w:r w:rsidRPr="008930E0">
        <w:t>not publishing gaming machine advertising</w:t>
      </w:r>
    </w:p>
    <w:p w:rsidR="00000000" w:rsidRPr="008930E0" w:rsidP="008930E0">
      <w:pPr>
        <w:pStyle w:val="ListBullet2"/>
      </w:pPr>
      <w:r w:rsidRPr="008930E0">
        <w:t>not locating ATMs in gaming areas</w:t>
      </w:r>
    </w:p>
    <w:p w:rsidR="00000000" w:rsidRPr="008930E0" w:rsidP="008930E0">
      <w:pPr>
        <w:pStyle w:val="ListBullet2"/>
      </w:pPr>
      <w:r w:rsidRPr="008930E0">
        <w:t>ensuring that AT</w:t>
      </w:r>
      <w:r w:rsidRPr="008930E0">
        <w:t>M facilities do not allow cash withdrawals from credit accounts</w:t>
      </w:r>
    </w:p>
    <w:p w:rsidR="00000000" w:rsidRPr="008930E0" w:rsidP="008930E0">
      <w:pPr>
        <w:pStyle w:val="ListBullet"/>
      </w:pPr>
      <w:r w:rsidRPr="008930E0">
        <w:t>key requirements of responsible gaming services as detailed in:</w:t>
      </w:r>
    </w:p>
    <w:p w:rsidR="00000000" w:rsidRPr="008930E0" w:rsidP="008930E0">
      <w:pPr>
        <w:pStyle w:val="ListBullet2"/>
      </w:pPr>
      <w:r w:rsidRPr="008930E0">
        <w:t>house policies</w:t>
      </w:r>
    </w:p>
    <w:p w:rsidR="00000000" w:rsidRPr="008930E0" w:rsidP="008930E0">
      <w:pPr>
        <w:pStyle w:val="ListBullet2"/>
      </w:pPr>
      <w:r w:rsidRPr="008930E0">
        <w:t>industry and organisational codes of practice</w:t>
      </w:r>
    </w:p>
    <w:p w:rsidR="00000000" w:rsidRPr="008930E0" w:rsidP="008930E0">
      <w:pPr>
        <w:pStyle w:val="ListBullet2"/>
      </w:pPr>
      <w:r w:rsidRPr="008930E0">
        <w:t>state and territory gaming legislation and regulations</w:t>
      </w:r>
    </w:p>
    <w:p w:rsidR="00000000" w:rsidRPr="008930E0" w:rsidP="008930E0">
      <w:pPr>
        <w:pStyle w:val="ListBullet2"/>
      </w:pPr>
      <w:r w:rsidRPr="008930E0">
        <w:t>state and territory licensing authority regulations and policies</w:t>
      </w:r>
    </w:p>
    <w:p w:rsidR="00000000" w:rsidRPr="008930E0" w:rsidP="008930E0">
      <w:pPr>
        <w:pStyle w:val="ListBullet"/>
      </w:pPr>
      <w:r w:rsidRPr="008930E0">
        <w:t>organisational responsible gambling service procedures for:</w:t>
      </w:r>
    </w:p>
    <w:p w:rsidR="00000000" w:rsidRPr="008930E0" w:rsidP="008930E0">
      <w:pPr>
        <w:pStyle w:val="ListBullet2"/>
      </w:pPr>
      <w:r w:rsidRPr="008930E0">
        <w:t>displaying appropriate gambling-related signage:</w:t>
      </w:r>
    </w:p>
    <w:p w:rsidR="00000000" w:rsidRPr="008930E0" w:rsidP="008930E0">
      <w:pPr>
        <w:pStyle w:val="ListBullet3"/>
      </w:pPr>
      <w:r w:rsidRPr="008930E0">
        <w:t>available gambling counselling services, self-exclusion programs and contact ca</w:t>
      </w:r>
      <w:r w:rsidRPr="008930E0">
        <w:t>rds</w:t>
      </w:r>
    </w:p>
    <w:p w:rsidR="00000000" w:rsidRPr="008930E0" w:rsidP="008930E0">
      <w:pPr>
        <w:pStyle w:val="ListBullet3"/>
      </w:pPr>
      <w:r w:rsidRPr="008930E0">
        <w:t>chances of winning and probability</w:t>
      </w:r>
    </w:p>
    <w:p w:rsidR="00000000" w:rsidRPr="008930E0" w:rsidP="008930E0">
      <w:pPr>
        <w:pStyle w:val="ListBullet3"/>
      </w:pPr>
      <w:r w:rsidRPr="008930E0">
        <w:t>gaming machine notices regarding gambling warning and problem gambling</w:t>
      </w:r>
    </w:p>
    <w:p w:rsidR="00000000" w:rsidRPr="008930E0" w:rsidP="008930E0">
      <w:pPr>
        <w:pStyle w:val="ListBullet3"/>
      </w:pPr>
      <w:r w:rsidRPr="008930E0">
        <w:t>house policy and industry code of conduct for responsible gambling services</w:t>
      </w:r>
    </w:p>
    <w:p w:rsidR="00000000" w:rsidRPr="008930E0" w:rsidP="008930E0">
      <w:pPr>
        <w:pStyle w:val="ListBullet3"/>
      </w:pPr>
      <w:r w:rsidRPr="008930E0">
        <w:t>self exclusion and exclusion provisions</w:t>
      </w:r>
    </w:p>
    <w:p w:rsidR="00000000" w:rsidRPr="008930E0" w:rsidP="008930E0">
      <w:pPr>
        <w:pStyle w:val="ListBullet3"/>
      </w:pPr>
      <w:r w:rsidRPr="008930E0">
        <w:t>venue code of conduct</w:t>
      </w:r>
    </w:p>
    <w:p w:rsidR="00000000" w:rsidRPr="008930E0" w:rsidP="008930E0">
      <w:pPr>
        <w:pStyle w:val="ListBullet2"/>
      </w:pPr>
      <w:r w:rsidRPr="008930E0">
        <w:t>maintaining confidentiality and privacy requirements</w:t>
      </w:r>
    </w:p>
    <w:p w:rsidR="00000000" w:rsidRPr="008930E0" w:rsidP="008930E0">
      <w:pPr>
        <w:pStyle w:val="ListBullet2"/>
      </w:pPr>
      <w:r w:rsidRPr="008930E0">
        <w:t>maintaining records of gambling related incidents and associated staff action</w:t>
      </w:r>
    </w:p>
    <w:p w:rsidR="00000000" w:rsidRPr="008930E0" w:rsidP="008930E0">
      <w:pPr>
        <w:pStyle w:val="ListBullet2"/>
      </w:pPr>
      <w:r w:rsidRPr="008930E0">
        <w:t>self exclusion and exclusion:</w:t>
      </w:r>
    </w:p>
    <w:p w:rsidR="00000000" w:rsidRPr="008930E0" w:rsidP="008930E0">
      <w:pPr>
        <w:pStyle w:val="ListBullet3"/>
      </w:pPr>
      <w:r w:rsidRPr="008930E0">
        <w:t>customer requesting to be barred from gaming or to have access limited</w:t>
      </w:r>
    </w:p>
    <w:p w:rsidR="00000000" w:rsidRPr="008930E0" w:rsidP="008930E0">
      <w:pPr>
        <w:pStyle w:val="ListBullet3"/>
      </w:pPr>
      <w:r w:rsidRPr="008930E0">
        <w:t>third party exclusion</w:t>
      </w:r>
    </w:p>
    <w:p w:rsidR="00000000" w:rsidRPr="008930E0" w:rsidP="008930E0">
      <w:pPr>
        <w:pStyle w:val="ListBullet3"/>
      </w:pPr>
      <w:r w:rsidRPr="008930E0">
        <w:t>v</w:t>
      </w:r>
      <w:r w:rsidRPr="008930E0">
        <w:t>enue exclusion</w:t>
      </w:r>
    </w:p>
    <w:p w:rsidR="00000000" w:rsidRPr="008930E0" w:rsidP="008930E0">
      <w:pPr>
        <w:pStyle w:val="ListBullet3"/>
      </w:pPr>
      <w:r w:rsidRPr="008930E0">
        <w:t>response to attempts to breach exclusion</w:t>
      </w:r>
    </w:p>
    <w:p w:rsidR="00000000" w:rsidRPr="008930E0" w:rsidP="008930E0">
      <w:pPr>
        <w:pStyle w:val="ListBullet2"/>
      </w:pPr>
      <w:r w:rsidRPr="008930E0">
        <w:t>procedures for self-exclusion:</w:t>
      </w:r>
    </w:p>
    <w:p w:rsidR="00000000" w:rsidRPr="008930E0" w:rsidP="008930E0">
      <w:pPr>
        <w:pStyle w:val="ListBullet3"/>
      </w:pPr>
      <w:r w:rsidRPr="008930E0">
        <w:t>referral to colleague, supervisor or manager, according to scope of responsibility</w:t>
      </w:r>
    </w:p>
    <w:p w:rsidR="00000000" w:rsidRPr="008930E0" w:rsidP="008930E0">
      <w:pPr>
        <w:pStyle w:val="ListBullet3"/>
      </w:pPr>
      <w:r w:rsidRPr="008930E0">
        <w:t>referral to counsellors and support services</w:t>
      </w:r>
    </w:p>
    <w:p w:rsidR="00000000" w:rsidRPr="008930E0" w:rsidP="008930E0">
      <w:pPr>
        <w:pStyle w:val="ListBullet3"/>
      </w:pPr>
      <w:r w:rsidRPr="008930E0">
        <w:t xml:space="preserve">initiating exclusion processes when requested by customer </w:t>
      </w:r>
    </w:p>
    <w:p w:rsidR="00000000" w:rsidRPr="008930E0" w:rsidP="008930E0">
      <w:pPr>
        <w:pStyle w:val="ListBullet"/>
      </w:pPr>
      <w:r w:rsidRPr="008930E0">
        <w:t>role of individual staff members, supervisors and managers in providing responsible gambling services</w:t>
      </w:r>
    </w:p>
    <w:p w:rsidR="00000000" w:rsidRPr="008930E0" w:rsidP="008930E0">
      <w:pPr>
        <w:pStyle w:val="ListBullet"/>
      </w:pPr>
      <w:r w:rsidRPr="008930E0">
        <w:t xml:space="preserve">ramifications for an organisation and an individual of non-compliance with responsible gaming </w:t>
      </w:r>
      <w:r w:rsidRPr="008930E0">
        <w:t>requirements</w:t>
      </w:r>
    </w:p>
    <w:p w:rsidR="00000000" w:rsidRPr="008930E0" w:rsidP="008930E0">
      <w:pPr>
        <w:pStyle w:val="ListBullet"/>
      </w:pPr>
      <w:r w:rsidRPr="008930E0">
        <w:t>contents of problem gambling information provided by the organisation as required by legislation</w:t>
      </w:r>
    </w:p>
    <w:p w:rsidR="00000000" w:rsidRPr="008930E0" w:rsidP="008930E0">
      <w:pPr>
        <w:pStyle w:val="ListBullet"/>
      </w:pPr>
      <w:r w:rsidRPr="008930E0">
        <w:t>available counselling services and referral procedures.</w:t>
      </w:r>
    </w:p>
    <w:p w:rsidR="00000000" w:rsidRPr="008930E0" w:rsidP="008930E0">
      <w:pPr>
        <w:pStyle w:val="AllowPageBreak"/>
      </w:pPr>
    </w:p>
    <w:p w:rsidR="00000000" w:rsidRPr="008930E0" w:rsidP="008930E0">
      <w:pPr>
        <w:pStyle w:val="Heading1"/>
      </w:pPr>
      <w:bookmarkStart w:id="4" w:name="O_762785"/>
      <w:bookmarkEnd w:id="4"/>
      <w:r w:rsidRPr="008930E0">
        <w:t>Assessment Conditions</w:t>
      </w:r>
    </w:p>
    <w:p w:rsidR="00000000" w:rsidRPr="008930E0" w:rsidP="00F62E8B">
      <w:pPr>
        <w:pStyle w:val="BodyText"/>
      </w:pPr>
      <w:r w:rsidRPr="008930E0">
        <w:t>Skills must be demonstrated in an operational gamin</w:t>
      </w:r>
      <w:r w:rsidRPr="008930E0">
        <w:t>g environment. This can be:</w:t>
      </w:r>
    </w:p>
    <w:p w:rsidR="00000000" w:rsidRPr="008930E0" w:rsidP="008930E0">
      <w:pPr>
        <w:pStyle w:val="ListBullet"/>
      </w:pPr>
      <w:r w:rsidRPr="008930E0">
        <w:t>an industry workplace</w:t>
      </w:r>
    </w:p>
    <w:p w:rsidR="00000000" w:rsidRPr="008930E0" w:rsidP="008930E0">
      <w:pPr>
        <w:pStyle w:val="ListBullet"/>
      </w:pPr>
      <w:r w:rsidRPr="008930E0">
        <w:t>a simulated industry environment set up for the purposes of assessment.</w:t>
      </w:r>
    </w:p>
    <w:p w:rsidR="00000000" w:rsidRPr="008930E0" w:rsidP="008930E0">
      <w:pPr>
        <w:pStyle w:val="BodyText"/>
      </w:pPr>
    </w:p>
    <w:p w:rsidR="00000000" w:rsidRPr="008930E0" w:rsidP="00F62E8B">
      <w:pPr>
        <w:pStyle w:val="BodyText"/>
      </w:pPr>
      <w:r w:rsidRPr="008930E0">
        <w:t>Assessment must ensure access to:</w:t>
      </w:r>
    </w:p>
    <w:p w:rsidR="00000000" w:rsidRPr="008930E0" w:rsidP="008930E0">
      <w:pPr>
        <w:pStyle w:val="ListBullet"/>
      </w:pPr>
      <w:r w:rsidRPr="008930E0">
        <w:t>facility where industry-realistic gambling activities occur</w:t>
      </w:r>
    </w:p>
    <w:p w:rsidR="00000000" w:rsidRPr="008930E0" w:rsidP="008930E0">
      <w:pPr>
        <w:pStyle w:val="ListBullet"/>
      </w:pPr>
      <w:r w:rsidRPr="008930E0">
        <w:t>current regulatory doc</w:t>
      </w:r>
      <w:r w:rsidRPr="008930E0">
        <w:t xml:space="preserve">uments, legislative publications and codes of conduct outlining responsible gambling requirements  distributed by key state and territory gambling licensing agencies </w:t>
      </w:r>
    </w:p>
    <w:p w:rsidR="00000000" w:rsidRPr="008930E0" w:rsidP="008930E0">
      <w:pPr>
        <w:pStyle w:val="ListBullet"/>
      </w:pPr>
      <w:r w:rsidRPr="008930E0">
        <w:t xml:space="preserve">industry and organisational codes of conduct, policies, procedures, information, signage </w:t>
      </w:r>
      <w:r w:rsidRPr="008930E0">
        <w:t>and brochures relating to responsible gambling services</w:t>
      </w:r>
    </w:p>
    <w:p w:rsidR="00000000" w:rsidRPr="008930E0" w:rsidP="008930E0">
      <w:pPr>
        <w:pStyle w:val="ListBullet"/>
      </w:pPr>
      <w:r w:rsidRPr="008930E0">
        <w:t>industry-realistic range of customers involved in gambling activities; these can be:</w:t>
      </w:r>
    </w:p>
    <w:p w:rsidR="00000000" w:rsidRPr="008930E0" w:rsidP="008930E0">
      <w:pPr>
        <w:pStyle w:val="ListBullet2"/>
      </w:pPr>
      <w:r w:rsidRPr="008930E0">
        <w:t>individuals who participate in role plays or simulated activities, set up for the purpose of assessment, in a simu</w:t>
      </w:r>
      <w:r w:rsidRPr="008930E0">
        <w:t>lated industry environment operated within a training organisation.</w:t>
      </w:r>
    </w:p>
    <w:p w:rsidR="00000000" w:rsidRPr="008930E0" w:rsidP="008930E0">
      <w:pPr>
        <w:pStyle w:val="BodyText"/>
      </w:pPr>
    </w:p>
    <w:p w:rsidR="00000000" w:rsidRPr="008930E0" w:rsidP="00F62E8B">
      <w:pPr>
        <w:pStyle w:val="BodyText"/>
      </w:pPr>
      <w:r w:rsidRPr="008930E0">
        <w:t xml:space="preserve">Assessors must satisfy the Standards for Registered Training Organisations’ requirements for assessors; and: </w:t>
      </w:r>
    </w:p>
    <w:p w:rsidR="00000000" w:rsidRPr="008930E0" w:rsidP="008930E0">
      <w:pPr>
        <w:pStyle w:val="ListBullet"/>
      </w:pPr>
      <w:r w:rsidRPr="008930E0">
        <w:t>have worked in industry for at least three years where they have applied the</w:t>
      </w:r>
      <w:r w:rsidRPr="008930E0">
        <w:t xml:space="preserve"> skills and knowledge of this unit of competency.</w:t>
      </w:r>
    </w:p>
    <w:p w:rsidR="00000000" w:rsidRPr="008930E0" w:rsidP="008930E0">
      <w:pPr>
        <w:pStyle w:val="AllowPageBreak"/>
      </w:pPr>
    </w:p>
    <w:p w:rsidR="00000000" w:rsidRPr="008930E0" w:rsidP="008930E0">
      <w:pPr>
        <w:pStyle w:val="Heading1"/>
      </w:pPr>
      <w:bookmarkStart w:id="5" w:name="O_762788"/>
      <w:bookmarkEnd w:id="5"/>
      <w:r w:rsidRPr="008930E0">
        <w:t>Links</w:t>
      </w:r>
    </w:p>
    <w:p w:rsidR="00000000" w:rsidRPr="008930E0" w:rsidP="00F62E8B">
      <w:pPr>
        <w:pStyle w:val="BodyText"/>
      </w:pPr>
      <w:r w:rsidRPr="008930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31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930E0" w:rsidP="008930E0"/>
    <w:sectPr w:rsidSect="008930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0" w:rsidRPr="00F62E8B" w:rsidP="00F62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8B" w:rsidP="00893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E8B" w:rsidP="00893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2E8B" w:rsidP="00893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0E0" w:rsidRPr="00F62E8B" w:rsidP="00F62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E8B" w:rsidRPr="002D2AF8" w:rsidP="00893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SITHGAM001 Provide responsible gambling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62E8B" w:rsidP="00893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9C0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A0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2F8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0E0"/>
  </w:style>
  <w:style w:type="character" w:customStyle="1" w:styleId="Heading1Char">
    <w:name w:val="Heading 1 Char"/>
    <w:basedOn w:val="DefaultParagraphFont"/>
    <w:link w:val="Heading1"/>
    <w:rsid w:val="00893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0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0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0E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30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30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3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0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0E0"/>
    <w:rPr>
      <w:b/>
      <w:spacing w:val="0"/>
    </w:rPr>
  </w:style>
  <w:style w:type="paragraph" w:customStyle="1" w:styleId="SuperTitle">
    <w:name w:val="SuperTitle"/>
    <w:basedOn w:val="Title"/>
    <w:rsid w:val="00893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0E0"/>
    <w:rPr>
      <w:i/>
    </w:rPr>
  </w:style>
  <w:style w:type="paragraph" w:styleId="Caption">
    <w:name w:val="caption"/>
    <w:basedOn w:val="BodyText"/>
    <w:next w:val="Normal"/>
    <w:qFormat/>
    <w:rsid w:val="00893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0E0"/>
  </w:style>
  <w:style w:type="paragraph" w:styleId="TableofFigures">
    <w:name w:val="table of figures"/>
    <w:basedOn w:val="Normal"/>
    <w:next w:val="Normal"/>
    <w:semiHidden/>
    <w:rsid w:val="00893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0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30E0"/>
    <w:rPr>
      <w:rFonts w:ascii="Wingdings" w:hAnsi="Wingdings"/>
    </w:rPr>
  </w:style>
  <w:style w:type="paragraph" w:customStyle="1" w:styleId="TableHeading">
    <w:name w:val="Table Heading"/>
    <w:basedOn w:val="HeadingBase"/>
    <w:rsid w:val="00893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0E0"/>
    <w:rPr>
      <w:color w:val="0033CC"/>
      <w:u w:val="none"/>
    </w:rPr>
  </w:style>
  <w:style w:type="paragraph" w:customStyle="1" w:styleId="BodyTextRight">
    <w:name w:val="Body Text Right"/>
    <w:basedOn w:val="BodyText"/>
    <w:rsid w:val="00893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0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0E0"/>
    <w:rPr>
      <w:sz w:val="32"/>
    </w:rPr>
  </w:style>
  <w:style w:type="paragraph" w:customStyle="1" w:styleId="HeadingProcedure">
    <w:name w:val="Heading Procedure"/>
    <w:basedOn w:val="HeadingBase"/>
    <w:next w:val="Normal"/>
    <w:rsid w:val="00893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0E0"/>
    <w:pPr>
      <w:spacing w:before="60" w:after="60"/>
    </w:pPr>
  </w:style>
  <w:style w:type="paragraph" w:styleId="ListContinue">
    <w:name w:val="List Continue"/>
    <w:basedOn w:val="List"/>
    <w:rsid w:val="008930E0"/>
    <w:pPr>
      <w:ind w:firstLine="0"/>
    </w:pPr>
  </w:style>
  <w:style w:type="paragraph" w:customStyle="1" w:styleId="ListNote">
    <w:name w:val="List Note"/>
    <w:basedOn w:val="List"/>
    <w:rsid w:val="00893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0E0"/>
    <w:rPr>
      <w:rFonts w:ascii="Courier New" w:hAnsi="Courier New"/>
    </w:rPr>
  </w:style>
  <w:style w:type="paragraph" w:customStyle="1" w:styleId="NoteBullet">
    <w:name w:val="Note Bullet"/>
    <w:basedOn w:val="Note"/>
    <w:rsid w:val="00893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0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3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0E0"/>
    <w:rPr>
      <w:b/>
      <w:smallCaps/>
    </w:rPr>
  </w:style>
  <w:style w:type="paragraph" w:customStyle="1" w:styleId="TableListNumber">
    <w:name w:val="Table List Number"/>
    <w:basedOn w:val="ListNumber"/>
    <w:rsid w:val="00893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0E0"/>
    <w:pPr>
      <w:numPr>
        <w:numId w:val="10"/>
      </w:numPr>
    </w:pPr>
  </w:style>
  <w:style w:type="paragraph" w:customStyle="1" w:styleId="ListAlpha2">
    <w:name w:val="List Alpha 2"/>
    <w:basedOn w:val="List2"/>
    <w:rsid w:val="008930E0"/>
    <w:pPr>
      <w:numPr>
        <w:numId w:val="9"/>
      </w:numPr>
    </w:pPr>
  </w:style>
  <w:style w:type="paragraph" w:styleId="List2">
    <w:name w:val="List 2"/>
    <w:basedOn w:val="BodyText"/>
    <w:rsid w:val="00893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0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30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30E0"/>
    <w:pPr>
      <w:numPr>
        <w:numId w:val="5"/>
      </w:numPr>
    </w:pPr>
  </w:style>
  <w:style w:type="paragraph" w:styleId="ListContinue2">
    <w:name w:val="List Continue 2"/>
    <w:basedOn w:val="List2"/>
    <w:rsid w:val="008930E0"/>
    <w:pPr>
      <w:ind w:firstLine="0"/>
    </w:pPr>
  </w:style>
  <w:style w:type="paragraph" w:styleId="ListContinue3">
    <w:name w:val="List Continue 3"/>
    <w:basedOn w:val="List3"/>
    <w:rsid w:val="008930E0"/>
    <w:pPr>
      <w:ind w:left="1021" w:firstLine="0"/>
    </w:pPr>
  </w:style>
  <w:style w:type="paragraph" w:styleId="ListContinue4">
    <w:name w:val="List Continue 4"/>
    <w:basedOn w:val="List4"/>
    <w:rsid w:val="008930E0"/>
    <w:pPr>
      <w:ind w:firstLine="0"/>
    </w:pPr>
  </w:style>
  <w:style w:type="paragraph" w:styleId="ListContinue5">
    <w:name w:val="List Continue 5"/>
    <w:basedOn w:val="List5"/>
    <w:rsid w:val="008930E0"/>
    <w:pPr>
      <w:ind w:firstLine="0"/>
    </w:pPr>
  </w:style>
  <w:style w:type="paragraph" w:styleId="ListNumber3">
    <w:name w:val="List Number 3"/>
    <w:basedOn w:val="List3"/>
    <w:rsid w:val="008930E0"/>
    <w:pPr>
      <w:numPr>
        <w:numId w:val="6"/>
      </w:numPr>
    </w:pPr>
  </w:style>
  <w:style w:type="paragraph" w:styleId="ListNumber4">
    <w:name w:val="List Number 4"/>
    <w:basedOn w:val="List4"/>
    <w:rsid w:val="008930E0"/>
    <w:pPr>
      <w:numPr>
        <w:numId w:val="7"/>
      </w:numPr>
    </w:pPr>
  </w:style>
  <w:style w:type="paragraph" w:styleId="ListNumber5">
    <w:name w:val="List Number 5"/>
    <w:basedOn w:val="List5"/>
    <w:rsid w:val="008930E0"/>
    <w:pPr>
      <w:numPr>
        <w:numId w:val="8"/>
      </w:numPr>
    </w:pPr>
  </w:style>
  <w:style w:type="paragraph" w:styleId="BlockText">
    <w:name w:val="Block Text"/>
    <w:basedOn w:val="Normal"/>
    <w:rsid w:val="00893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0E0"/>
    <w:rPr>
      <w:sz w:val="16"/>
      <w:vertAlign w:val="superscript"/>
    </w:rPr>
  </w:style>
  <w:style w:type="character" w:customStyle="1" w:styleId="Symbols">
    <w:name w:val="Symbols"/>
    <w:basedOn w:val="DefaultParagraphFont"/>
    <w:rsid w:val="008930E0"/>
    <w:rPr>
      <w:rFonts w:ascii="Symbol" w:hAnsi="Symbol"/>
    </w:rPr>
  </w:style>
  <w:style w:type="character" w:customStyle="1" w:styleId="MenuOptions">
    <w:name w:val="Menu Options"/>
    <w:basedOn w:val="DefaultParagraphFont"/>
    <w:rsid w:val="00893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0E0"/>
    <w:rPr>
      <w:b/>
    </w:rPr>
  </w:style>
  <w:style w:type="character" w:customStyle="1" w:styleId="Underlined">
    <w:name w:val="Underlined"/>
    <w:basedOn w:val="DefaultParagraphFont"/>
    <w:rsid w:val="008930E0"/>
    <w:rPr>
      <w:u w:val="single"/>
    </w:rPr>
  </w:style>
  <w:style w:type="paragraph" w:customStyle="1" w:styleId="TableBodyTextRight">
    <w:name w:val="Table Body Text Right"/>
    <w:basedOn w:val="TableBodyText"/>
    <w:rsid w:val="00893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0E0"/>
    <w:rPr>
      <w:sz w:val="18"/>
    </w:rPr>
  </w:style>
  <w:style w:type="paragraph" w:customStyle="1" w:styleId="BodySmallRight">
    <w:name w:val="Body Small Right"/>
    <w:basedOn w:val="BodyTextRight"/>
    <w:rsid w:val="008930E0"/>
    <w:rPr>
      <w:sz w:val="18"/>
      <w:szCs w:val="18"/>
    </w:rPr>
  </w:style>
  <w:style w:type="paragraph" w:customStyle="1" w:styleId="MarginEdition">
    <w:name w:val="Margin Edition"/>
    <w:basedOn w:val="MarginNote"/>
    <w:rsid w:val="00893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0E0"/>
    <w:rPr>
      <w:sz w:val="2"/>
      <w:szCs w:val="2"/>
    </w:rPr>
  </w:style>
  <w:style w:type="character" w:customStyle="1" w:styleId="Small">
    <w:name w:val="Small"/>
    <w:basedOn w:val="DefaultParagraphFont"/>
    <w:rsid w:val="008930E0"/>
    <w:rPr>
      <w:sz w:val="16"/>
    </w:rPr>
  </w:style>
  <w:style w:type="paragraph" w:customStyle="1" w:styleId="WideTable">
    <w:name w:val="Wide Table"/>
    <w:basedOn w:val="Normal"/>
    <w:rsid w:val="00893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0E0"/>
  </w:style>
  <w:style w:type="paragraph" w:styleId="Quote">
    <w:name w:val="Quote"/>
    <w:basedOn w:val="Heading1"/>
    <w:link w:val="QuoteChar"/>
    <w:qFormat/>
    <w:rsid w:val="00893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0E0"/>
    <w:pPr>
      <w:pageBreakBefore/>
    </w:pPr>
  </w:style>
  <w:style w:type="paragraph" w:customStyle="1" w:styleId="Border">
    <w:name w:val="Border"/>
    <w:basedOn w:val="Normal"/>
    <w:qFormat/>
    <w:rsid w:val="00893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0E0"/>
    <w:rPr>
      <w:u w:val="single"/>
    </w:rPr>
  </w:style>
  <w:style w:type="character" w:customStyle="1" w:styleId="BoldandItalics">
    <w:name w:val="Bold and Italics"/>
    <w:qFormat/>
    <w:rsid w:val="008930E0"/>
    <w:rPr>
      <w:b/>
      <w:i/>
      <w:u w:val="none"/>
    </w:rPr>
  </w:style>
  <w:style w:type="paragraph" w:styleId="BalloonText">
    <w:name w:val="Balloon Text"/>
    <w:basedOn w:val="Normal"/>
    <w:link w:val="BalloonTextChar"/>
    <w:rsid w:val="00893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0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0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0E0"/>
    <w:pPr>
      <w:spacing w:before="0" w:after="0"/>
    </w:pPr>
  </w:style>
  <w:style w:type="paragraph" w:customStyle="1" w:styleId="BodyTextBold">
    <w:name w:val="Body Text Bold"/>
    <w:basedOn w:val="BodyText"/>
    <w:qFormat/>
    <w:rsid w:val="008930E0"/>
    <w:rPr>
      <w:b/>
    </w:rPr>
  </w:style>
  <w:style w:type="character" w:styleId="Hyperlink">
    <w:name w:val="Hyperlink"/>
    <w:basedOn w:val="DefaultParagraphFont"/>
    <w:uiPriority w:val="99"/>
    <w:unhideWhenUsed/>
    <w:rsid w:val="00F62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4653</Characters>
  <Application>Microsoft Office Word</Application>
  <DocSecurity>0</DocSecurity>
  <Lines>113</Lines>
  <Paragraphs>97</Paragraphs>
  <ScaleCrop>false</ScaleCrop>
  <Company>Author-it Software Corporation Ltd.</Company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SITHGAM001 Provide responsible gambling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2022-04-08T08:02:00Z</dcterms:created>
  <dcterms:modified xsi:type="dcterms:W3CDTF">2022-04-08T08:02:00Z</dcterms:modified>
</cp:coreProperties>
</file>