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751C" w:rsidP="00D9751C">
      <w:pPr>
        <w:pStyle w:val="Title"/>
      </w:pPr>
      <w:r>
        <w:fldChar w:fldCharType="begin"/>
      </w:r>
      <w:r>
        <w:instrText xml:space="preserve"> TITLE   \* MERGEFORMAT </w:instrText>
      </w:r>
      <w:r>
        <w:fldChar w:fldCharType="separate"/>
      </w:r>
      <w:r>
        <w:t>SITHFAB039 Manage the sale or service of wine</w:t>
      </w:r>
      <w:r>
        <w:fldChar w:fldCharType="end"/>
      </w:r>
    </w:p>
    <w:p w:rsidR="00D9751C" w:rsidP="00D9751C">
      <w:pPr>
        <w:pStyle w:val="Version"/>
        <w:sectPr w:rsidSect="004B46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46DD" w:rsidP="004B46DD">
      <w:pPr>
        <w:pStyle w:val="SuperHeading"/>
      </w:pPr>
      <w:r w:rsidRPr="004B46DD">
        <w:t>SITHFAB039 Manage the sale or service of wine</w:t>
      </w:r>
    </w:p>
    <w:p w:rsidR="00000000" w:rsidRPr="004B46DD" w:rsidP="004B46DD">
      <w:pPr>
        <w:pStyle w:val="Heading1"/>
      </w:pPr>
      <w:bookmarkStart w:id="1" w:name="O_1229596"/>
      <w:bookmarkEnd w:id="1"/>
      <w:r w:rsidRPr="004B46DD">
        <w:t>Modification History</w:t>
      </w:r>
    </w:p>
    <w:p w:rsidR="00000000" w:rsidRPr="004B46DD" w:rsidP="00D9751C">
      <w:pPr>
        <w:pStyle w:val="BodyText"/>
      </w:pPr>
      <w:r w:rsidRPr="004B46DD">
        <w:t>Not applicable.</w:t>
      </w:r>
    </w:p>
    <w:p w:rsidR="00000000" w:rsidRPr="004B46DD" w:rsidP="004B46DD">
      <w:pPr>
        <w:pStyle w:val="Heading1"/>
      </w:pPr>
      <w:bookmarkStart w:id="2" w:name="O_1229603"/>
      <w:bookmarkEnd w:id="2"/>
      <w:r w:rsidRPr="004B46DD">
        <w:t>Application</w:t>
      </w:r>
    </w:p>
    <w:p w:rsidR="00000000" w:rsidRPr="004B46DD" w:rsidP="00D9751C">
      <w:pPr>
        <w:pStyle w:val="BodyText"/>
      </w:pPr>
      <w:r w:rsidRPr="004B46DD">
        <w:t>This unit describes the performance outcomes, skills and knowledge required to coordinate business activities associated with the sale and service of wine. It requires the ability</w:t>
      </w:r>
      <w:r w:rsidRPr="004B46DD">
        <w:t xml:space="preserve"> to select wines, organise wine storage and cellaring systems, and develop wine knowledge for self and other staff members.</w:t>
      </w:r>
    </w:p>
    <w:p w:rsidR="00000000" w:rsidRPr="004B46DD" w:rsidP="00D9751C">
      <w:pPr>
        <w:pStyle w:val="BodyText"/>
      </w:pPr>
      <w:r w:rsidRPr="004B46DD">
        <w:t>The unit applies to hospitality, winery, retail and wholesale organisations that sell wines.</w:t>
      </w:r>
    </w:p>
    <w:p w:rsidR="00000000" w:rsidRPr="004B46DD" w:rsidP="00D9751C">
      <w:pPr>
        <w:pStyle w:val="BodyText"/>
      </w:pPr>
      <w:r w:rsidRPr="004B46DD">
        <w:t>This unit applies to individuals who ar</w:t>
      </w:r>
      <w:r w:rsidRPr="004B46DD">
        <w:t>e responsible for both the technical and business aspects of wine service or sales. It therefore combines management and planning skills with specialised wine expertise. Job roles might include management of a specialised wine outlet (winery or retail outl</w:t>
      </w:r>
      <w:r w:rsidRPr="004B46DD">
        <w:t>et) or the management of wine for a restaurant.</w:t>
      </w:r>
    </w:p>
    <w:p w:rsidR="00000000" w:rsidRPr="004B46DD" w:rsidP="00D9751C">
      <w:pPr>
        <w:pStyle w:val="BodyText"/>
      </w:pPr>
      <w:r w:rsidRPr="004B46DD">
        <w:t>The sale and service of alcohol is subject to the provisions of Responsible Service of Alcohol (RSA) law in each state and territory of Australia. Skills and knowledge for compliance with this law are covered</w:t>
      </w:r>
      <w:r w:rsidRPr="004B46DD">
        <w:t xml:space="preserve"> by the prerequisite unit SITHFAB021 Provide responsible service of alcohol.</w:t>
      </w:r>
    </w:p>
    <w:p w:rsidR="00000000" w:rsidRPr="004B46DD" w:rsidP="00D9751C">
      <w:pPr>
        <w:pStyle w:val="BodyText"/>
      </w:pPr>
      <w:r w:rsidRPr="004B46DD">
        <w:t>The skills in this unit must be applied in accordance with Commonwealth and State/Territory legislation, Australian/New Zealand standards and industry codes of practice.</w:t>
      </w:r>
    </w:p>
    <w:p w:rsidR="00000000" w:rsidRPr="004B46DD" w:rsidP="00D9751C">
      <w:pPr>
        <w:pStyle w:val="BodyText"/>
      </w:pPr>
      <w:r w:rsidRPr="004B46DD">
        <w:t>No occupa</w:t>
      </w:r>
      <w:r w:rsidRPr="004B46DD">
        <w:t>tional licensing, certification or specific legislative requirements apply to this unit at the time of publication.</w:t>
      </w:r>
    </w:p>
    <w:p w:rsidR="00000000" w:rsidRPr="004B46DD" w:rsidP="004B46DD">
      <w:pPr>
        <w:pStyle w:val="Heading1"/>
      </w:pPr>
      <w:bookmarkStart w:id="3" w:name="O_1229602"/>
      <w:bookmarkEnd w:id="3"/>
      <w:r w:rsidRPr="004B46DD">
        <w:t>Pre-requisite Unit</w:t>
      </w:r>
    </w:p>
    <w:p w:rsidR="00000000" w:rsidRPr="004B46DD" w:rsidP="00D9751C">
      <w:pPr>
        <w:pStyle w:val="List"/>
      </w:pPr>
      <w:r w:rsidRPr="004B46DD">
        <w:t>SITHFAB021 Provide responsible service of alcohol</w:t>
      </w:r>
    </w:p>
    <w:p w:rsidR="00000000" w:rsidRPr="004B46DD" w:rsidP="00D9751C">
      <w:pPr>
        <w:pStyle w:val="List"/>
      </w:pPr>
      <w:r w:rsidRPr="004B46DD">
        <w:t>SITHFAB032 Provide advice on Australian wines</w:t>
      </w:r>
    </w:p>
    <w:p w:rsidR="00000000" w:rsidRPr="004B46DD" w:rsidP="00D9751C">
      <w:pPr>
        <w:pStyle w:val="List"/>
      </w:pPr>
      <w:r w:rsidRPr="004B46DD">
        <w:t>SITHFA</w:t>
      </w:r>
      <w:r w:rsidRPr="004B46DD">
        <w:t>B033 Provide advice on imported wines</w:t>
      </w:r>
    </w:p>
    <w:p w:rsidR="00000000" w:rsidRPr="004B46DD" w:rsidP="004B46DD">
      <w:pPr>
        <w:pStyle w:val="AllowPageBreak"/>
      </w:pPr>
    </w:p>
    <w:p w:rsidR="00000000" w:rsidRPr="004B46DD" w:rsidP="004B46DD">
      <w:pPr>
        <w:pStyle w:val="Heading1"/>
      </w:pPr>
      <w:bookmarkStart w:id="4" w:name="O_1229601"/>
      <w:bookmarkEnd w:id="4"/>
      <w:r w:rsidRPr="004B46DD">
        <w:t>Competency Field</w:t>
      </w:r>
    </w:p>
    <w:p w:rsidR="00000000" w:rsidRPr="004B46DD" w:rsidP="00D9751C">
      <w:pPr>
        <w:pStyle w:val="BodyText"/>
      </w:pPr>
      <w:r w:rsidRPr="004B46DD">
        <w:t xml:space="preserve">Food and Beverage </w:t>
      </w:r>
    </w:p>
    <w:p w:rsidR="00000000" w:rsidRPr="004B46DD" w:rsidP="004B46DD">
      <w:pPr>
        <w:pStyle w:val="Heading1"/>
      </w:pPr>
      <w:bookmarkStart w:id="5" w:name="O_1229600"/>
      <w:bookmarkEnd w:id="5"/>
      <w:r w:rsidRPr="004B46DD">
        <w:t>Unit Sector</w:t>
      </w:r>
    </w:p>
    <w:p w:rsidR="00000000" w:rsidRPr="004B46DD" w:rsidP="00D9751C">
      <w:pPr>
        <w:pStyle w:val="BodyText"/>
      </w:pPr>
      <w:r w:rsidRPr="004B46DD">
        <w:t>Hospitality</w:t>
      </w:r>
    </w:p>
    <w:p w:rsidR="00000000" w:rsidRPr="004B46DD" w:rsidP="004B46DD">
      <w:pPr>
        <w:pStyle w:val="Heading1"/>
      </w:pPr>
      <w:bookmarkStart w:id="6" w:name="O_1229599"/>
      <w:bookmarkEnd w:id="6"/>
      <w:r w:rsidRPr="004B46DD">
        <w:t>Elements and Performance Criteria</w:t>
      </w:r>
    </w:p>
    <w:tbl>
      <w:tblPr>
        <w:tblW w:w="0" w:type="auto"/>
        <w:tblLayout w:type="fixed"/>
        <w:tblCellMar>
          <w:left w:w="62" w:type="dxa"/>
          <w:right w:w="62" w:type="dxa"/>
        </w:tblCellMar>
        <w:tblLook w:val="0000"/>
      </w:tblPr>
      <w:tblGrid>
        <w:gridCol w:w="2694"/>
        <w:gridCol w:w="6350"/>
      </w:tblGrid>
      <w:tr w:rsidTr="004B46D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B46DD" w:rsidP="004B46DD">
            <w:pPr>
              <w:pStyle w:val="BodyText"/>
            </w:pPr>
            <w:r w:rsidRPr="004B46DD">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4B46DD">
            <w:pPr>
              <w:pStyle w:val="BodyText"/>
              <w:rPr>
                <w:lang w:val="en-NZ"/>
              </w:rPr>
            </w:pPr>
            <w:r w:rsidRPr="004B46DD">
              <w:rPr>
                <w:rStyle w:val="SpecialBold"/>
              </w:rPr>
              <w:t>PERFORMANCE</w:t>
            </w:r>
            <w:r w:rsidRPr="004B46DD">
              <w:t xml:space="preserve"> </w:t>
            </w:r>
            <w:r w:rsidRPr="004B46DD">
              <w:rPr>
                <w:rStyle w:val="SpecialBold"/>
              </w:rPr>
              <w:t>CRITERIA</w:t>
            </w:r>
          </w:p>
        </w:tc>
      </w:tr>
      <w:tr w:rsidTr="004B46D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4B46DD" w:rsidP="004B46DD">
            <w:pPr>
              <w:pStyle w:val="BodyText"/>
            </w:pPr>
            <w:r w:rsidRPr="004B46DD">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4B46DD">
            <w:pPr>
              <w:pStyle w:val="BodyText"/>
              <w:rPr>
                <w:lang w:val="en-NZ"/>
              </w:rPr>
            </w:pPr>
            <w:r w:rsidRPr="004B46DD">
              <w:rPr>
                <w:rStyle w:val="Emphasis"/>
              </w:rPr>
              <w:t>Performance criteria describe the performance needed to demonstrate achievement of the element.</w:t>
            </w:r>
          </w:p>
        </w:tc>
      </w:tr>
      <w:tr w:rsidTr="004B46D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B46DD">
            <w:pPr>
              <w:pStyle w:val="List"/>
              <w:rPr>
                <w:lang w:val="en-NZ"/>
              </w:rPr>
            </w:pPr>
            <w:r w:rsidRPr="004B46DD">
              <w:t>1.  Research and select wines to meet business objectives.</w:t>
            </w:r>
          </w:p>
        </w:tc>
        <w:tc>
          <w:tcPr>
            <w:tcW w:w="6350" w:type="dxa"/>
            <w:tcBorders>
              <w:top w:val="nil"/>
              <w:left w:val="nil"/>
              <w:bottom w:val="nil"/>
              <w:right w:val="nil"/>
            </w:tcBorders>
            <w:tcMar>
              <w:top w:w="0" w:type="dxa"/>
              <w:left w:w="62" w:type="dxa"/>
              <w:bottom w:w="0" w:type="dxa"/>
              <w:right w:w="62" w:type="dxa"/>
            </w:tcMar>
          </w:tcPr>
          <w:p w:rsidR="00000000" w:rsidRPr="004B46DD" w:rsidP="004B46DD">
            <w:pPr>
              <w:pStyle w:val="List"/>
            </w:pPr>
            <w:r w:rsidRPr="004B46DD">
              <w:t>1.1. Develop or identify business objectives for the sale o</w:t>
            </w:r>
            <w:r w:rsidRPr="004B46DD">
              <w:t>r service of wine.</w:t>
            </w:r>
          </w:p>
          <w:p w:rsidR="00000000" w:rsidRPr="004B46DD" w:rsidP="004B46DD">
            <w:pPr>
              <w:pStyle w:val="List"/>
            </w:pPr>
            <w:r w:rsidRPr="004B46DD">
              <w:t>1.2. Conduct relevant research on wine products, trends and market characteristics.</w:t>
            </w:r>
          </w:p>
          <w:p w:rsidR="00000000" w:rsidRPr="004B46DD" w:rsidP="004B46DD">
            <w:pPr>
              <w:pStyle w:val="List"/>
            </w:pPr>
            <w:r w:rsidRPr="004B46DD">
              <w:t>1.3. Maximise business opportunities by developing wine-related products and services, including wine lists, that support business objectives and profita</w:t>
            </w:r>
            <w:r w:rsidRPr="004B46DD">
              <w:t>bility requirements.</w:t>
            </w:r>
          </w:p>
          <w:p w:rsidR="00000000" w:rsidP="004B46DD">
            <w:pPr>
              <w:pStyle w:val="List"/>
              <w:rPr>
                <w:lang w:val="en-NZ"/>
              </w:rPr>
            </w:pPr>
            <w:r w:rsidRPr="004B46DD">
              <w:t>1.4. Identify and develop appropriate opportunities to promote wine.</w:t>
            </w:r>
          </w:p>
        </w:tc>
      </w:tr>
      <w:tr w:rsidTr="004B46DD">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4B46DD">
            <w:pPr>
              <w:pStyle w:val="List"/>
              <w:rPr>
                <w:lang w:val="en-NZ"/>
              </w:rPr>
            </w:pPr>
            <w:r w:rsidRPr="004B46DD">
              <w:t>2.  Develop and monitor wine management systems.</w:t>
            </w:r>
          </w:p>
        </w:tc>
        <w:tc>
          <w:tcPr>
            <w:tcW w:w="6350" w:type="dxa"/>
            <w:tcBorders>
              <w:top w:val="nil"/>
              <w:left w:val="nil"/>
              <w:bottom w:val="nil"/>
              <w:right w:val="nil"/>
            </w:tcBorders>
            <w:tcMar>
              <w:top w:w="0" w:type="dxa"/>
              <w:left w:w="62" w:type="dxa"/>
              <w:bottom w:w="0" w:type="dxa"/>
              <w:right w:w="62" w:type="dxa"/>
            </w:tcMar>
          </w:tcPr>
          <w:p w:rsidR="00000000" w:rsidRPr="004B46DD" w:rsidP="004B46DD">
            <w:pPr>
              <w:pStyle w:val="List"/>
            </w:pPr>
            <w:r w:rsidRPr="004B46DD">
              <w:t>2.1. Research, select and purchase appropriate equipment to support wine service and storage in consultation with managers.</w:t>
            </w:r>
          </w:p>
          <w:p w:rsidR="00000000" w:rsidRPr="004B46DD" w:rsidP="004B46DD">
            <w:pPr>
              <w:pStyle w:val="List"/>
            </w:pPr>
            <w:r w:rsidRPr="004B46DD">
              <w:t>2.2. Organise wine storage and cellaring systems that ensure wine quality and business efficiency.</w:t>
            </w:r>
          </w:p>
          <w:p w:rsidR="00000000" w:rsidRPr="004B46DD" w:rsidP="004B46DD">
            <w:pPr>
              <w:pStyle w:val="List"/>
            </w:pPr>
            <w:r w:rsidRPr="004B46DD">
              <w:t>2.3. Establish and monitor system</w:t>
            </w:r>
            <w:r w:rsidRPr="004B46DD">
              <w:t>s that ensure effective communication between colleagues on wine-related issues.</w:t>
            </w:r>
          </w:p>
          <w:p w:rsidR="00000000" w:rsidRPr="004B46DD" w:rsidP="004B46DD">
            <w:pPr>
              <w:pStyle w:val="List"/>
            </w:pPr>
            <w:r w:rsidRPr="004B46DD">
              <w:t>2.4. Monitor quality of wine products and services and provide proactive support and assistance to colleagues.</w:t>
            </w:r>
          </w:p>
          <w:p w:rsidR="00000000" w:rsidRPr="004B46DD" w:rsidP="004B46DD">
            <w:pPr>
              <w:pStyle w:val="List"/>
            </w:pPr>
            <w:r w:rsidRPr="004B46DD">
              <w:t>2.5. Resolve wine-related issues and challenges and use experien</w:t>
            </w:r>
            <w:r w:rsidRPr="004B46DD">
              <w:t>ce to inform future planning and activities.</w:t>
            </w:r>
          </w:p>
          <w:p w:rsidR="00000000" w:rsidP="004B46DD">
            <w:pPr>
              <w:pStyle w:val="List"/>
              <w:rPr>
                <w:lang w:val="en-NZ"/>
              </w:rPr>
            </w:pPr>
            <w:r w:rsidRPr="004B46DD">
              <w:t>2.6. Proactively identify opportunities for improvement in wine management systems and make recommendations to managers.</w:t>
            </w:r>
          </w:p>
        </w:tc>
      </w:tr>
      <w:tr w:rsidTr="004B46D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B46DD">
            <w:pPr>
              <w:pStyle w:val="List"/>
              <w:rPr>
                <w:lang w:val="en-NZ"/>
              </w:rPr>
            </w:pPr>
            <w:r w:rsidRPr="004B46DD">
              <w:t>3.  Develop and extend wine skills and knowledge for self and others.</w:t>
            </w:r>
          </w:p>
        </w:tc>
        <w:tc>
          <w:tcPr>
            <w:tcW w:w="6350" w:type="dxa"/>
            <w:tcBorders>
              <w:top w:val="nil"/>
              <w:left w:val="nil"/>
              <w:bottom w:val="nil"/>
              <w:right w:val="nil"/>
            </w:tcBorders>
            <w:tcMar>
              <w:top w:w="0" w:type="dxa"/>
              <w:left w:w="62" w:type="dxa"/>
              <w:bottom w:w="0" w:type="dxa"/>
              <w:right w:w="62" w:type="dxa"/>
            </w:tcMar>
          </w:tcPr>
          <w:p w:rsidR="00000000" w:rsidRPr="004B46DD" w:rsidP="004B46DD">
            <w:pPr>
              <w:pStyle w:val="List"/>
            </w:pPr>
            <w:r w:rsidRPr="004B46DD">
              <w:t>3.1. Proactively ev</w:t>
            </w:r>
            <w:r w:rsidRPr="004B46DD">
              <w:t>aluate own skills and knowledge to identify gaps and opportunities for further skills development.</w:t>
            </w:r>
          </w:p>
          <w:p w:rsidR="00000000" w:rsidRPr="004B46DD" w:rsidP="004B46DD">
            <w:pPr>
              <w:pStyle w:val="List"/>
            </w:pPr>
            <w:r w:rsidRPr="004B46DD">
              <w:t>3.2. Access opportunities to extend wine skills and knowledge.</w:t>
            </w:r>
          </w:p>
          <w:p w:rsidR="00000000" w:rsidRPr="004B46DD" w:rsidP="004B46DD">
            <w:pPr>
              <w:pStyle w:val="List"/>
            </w:pPr>
            <w:r w:rsidRPr="004B46DD">
              <w:t>3.3. Provide timely and accurate advice to other staff and colleagues on wine and wine-related</w:t>
            </w:r>
            <w:r w:rsidRPr="004B46DD">
              <w:t xml:space="preserve"> matters.</w:t>
            </w:r>
          </w:p>
          <w:p w:rsidR="00000000" w:rsidRPr="004B46DD" w:rsidP="004B46DD">
            <w:pPr>
              <w:pStyle w:val="List"/>
            </w:pPr>
            <w:r w:rsidRPr="004B46DD">
              <w:t>3.4. Organise or provide suitable training to staff on wine and wine service.</w:t>
            </w:r>
          </w:p>
          <w:p w:rsidR="00000000" w:rsidRPr="004B46DD" w:rsidP="004B46DD">
            <w:pPr>
              <w:pStyle w:val="List"/>
            </w:pPr>
            <w:r w:rsidRPr="004B46DD">
              <w:t>3.6. Maximise business and professional development opportunities through liaison with other members of the wine community and wine suppliers.</w:t>
            </w:r>
          </w:p>
        </w:tc>
      </w:tr>
    </w:tbl>
    <w:p w:rsidR="00000000" w:rsidRPr="004B46DD" w:rsidP="004B46DD">
      <w:pPr>
        <w:pStyle w:val="BodyText"/>
      </w:pPr>
    </w:p>
    <w:p w:rsidR="00000000" w:rsidRPr="004B46DD" w:rsidP="004B46DD">
      <w:pPr>
        <w:pStyle w:val="AllowPageBreak"/>
      </w:pPr>
    </w:p>
    <w:p w:rsidR="00000000" w:rsidRPr="004B46DD" w:rsidP="004B46DD">
      <w:pPr>
        <w:pStyle w:val="Heading1"/>
      </w:pPr>
      <w:bookmarkStart w:id="7" w:name="O_1229598"/>
      <w:bookmarkEnd w:id="7"/>
      <w:r w:rsidRPr="004B46DD">
        <w:t>Foundation Skills</w:t>
      </w:r>
    </w:p>
    <w:tbl>
      <w:tblPr>
        <w:tblW w:w="0" w:type="auto"/>
        <w:tblLayout w:type="fixed"/>
        <w:tblCellMar>
          <w:left w:w="62" w:type="dxa"/>
          <w:right w:w="62" w:type="dxa"/>
        </w:tblCellMar>
        <w:tblLook w:val="0000"/>
      </w:tblPr>
      <w:tblGrid>
        <w:gridCol w:w="2694"/>
        <w:gridCol w:w="6350"/>
      </w:tblGrid>
      <w:tr w:rsidTr="004B46DD">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4B46DD">
            <w:pPr>
              <w:pStyle w:val="BodyText"/>
              <w:rPr>
                <w:lang w:val="en-NZ"/>
              </w:rPr>
            </w:pPr>
            <w:r w:rsidRPr="004B46DD">
              <w:rPr>
                <w:rStyle w:val="Emphasis"/>
              </w:rPr>
              <w:t>Foundation skills essential to performance in this unit, but not explicit in the performance criteria are listed here, along with a brief context statement.</w:t>
            </w:r>
          </w:p>
        </w:tc>
      </w:tr>
      <w:tr w:rsidTr="004B46D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B46DD" w:rsidP="004B46DD">
            <w:pPr>
              <w:pStyle w:val="BodyText"/>
            </w:pPr>
          </w:p>
          <w:p w:rsidR="00000000" w:rsidRPr="004B46DD" w:rsidP="004B46DD">
            <w:pPr>
              <w:pStyle w:val="BodyText"/>
            </w:pPr>
            <w:r w:rsidRPr="004B46DD">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4B46DD">
            <w:pPr>
              <w:pStyle w:val="BodyText"/>
              <w:rPr>
                <w:lang w:val="en-NZ"/>
              </w:rPr>
            </w:pPr>
            <w:r w:rsidRPr="004B46DD">
              <w:rPr>
                <w:rStyle w:val="SpecialBold"/>
              </w:rPr>
              <w:t>DESCRIPTION</w:t>
            </w:r>
          </w:p>
        </w:tc>
      </w:tr>
      <w:tr w:rsidTr="004B46D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B46DD">
            <w:pPr>
              <w:pStyle w:val="BodyText"/>
              <w:rPr>
                <w:lang w:val="en-NZ"/>
              </w:rPr>
            </w:pPr>
            <w:r w:rsidRPr="004B46DD">
              <w:t>Reading skills to:</w:t>
            </w:r>
          </w:p>
        </w:tc>
        <w:tc>
          <w:tcPr>
            <w:tcW w:w="6350" w:type="dxa"/>
            <w:tcBorders>
              <w:top w:val="nil"/>
              <w:left w:val="nil"/>
              <w:bottom w:val="nil"/>
              <w:right w:val="nil"/>
            </w:tcBorders>
            <w:tcMar>
              <w:top w:w="0" w:type="dxa"/>
              <w:left w:w="62" w:type="dxa"/>
              <w:bottom w:w="0" w:type="dxa"/>
              <w:right w:w="62" w:type="dxa"/>
            </w:tcMar>
          </w:tcPr>
          <w:p w:rsidR="00000000" w:rsidP="004B46DD">
            <w:pPr>
              <w:pStyle w:val="ListBullet"/>
              <w:rPr>
                <w:lang w:val="en-NZ"/>
              </w:rPr>
            </w:pPr>
            <w:r w:rsidRPr="004B46DD">
              <w:t>interpret detailed product information</w:t>
            </w:r>
            <w:r w:rsidRPr="004B46DD">
              <w:t>, promotional material and reviews about wines.</w:t>
            </w:r>
          </w:p>
        </w:tc>
      </w:tr>
      <w:tr w:rsidTr="004B46D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B46DD">
            <w:pPr>
              <w:pStyle w:val="BodyText"/>
              <w:rPr>
                <w:lang w:val="en-NZ"/>
              </w:rPr>
            </w:pPr>
            <w:r w:rsidRPr="004B46DD">
              <w:t>Writing skills to:</w:t>
            </w:r>
          </w:p>
        </w:tc>
        <w:tc>
          <w:tcPr>
            <w:tcW w:w="6350" w:type="dxa"/>
            <w:tcBorders>
              <w:top w:val="nil"/>
              <w:left w:val="nil"/>
              <w:bottom w:val="nil"/>
              <w:right w:val="nil"/>
            </w:tcBorders>
            <w:tcMar>
              <w:top w:w="0" w:type="dxa"/>
              <w:left w:w="62" w:type="dxa"/>
              <w:bottom w:w="0" w:type="dxa"/>
              <w:right w:w="62" w:type="dxa"/>
            </w:tcMar>
          </w:tcPr>
          <w:p w:rsidR="00000000" w:rsidP="004B46DD">
            <w:pPr>
              <w:pStyle w:val="ListBullet"/>
              <w:rPr>
                <w:lang w:val="en-NZ"/>
              </w:rPr>
            </w:pPr>
            <w:r w:rsidRPr="004B46DD">
              <w:t>write comprehensive yet easily understood procedures for the sale and service of wine.</w:t>
            </w:r>
          </w:p>
        </w:tc>
      </w:tr>
      <w:tr w:rsidTr="004B46D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B46DD">
            <w:pPr>
              <w:pStyle w:val="BodyText"/>
              <w:rPr>
                <w:lang w:val="en-NZ"/>
              </w:rPr>
            </w:pPr>
            <w:r w:rsidRPr="004B46DD">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4B46DD">
            <w:pPr>
              <w:pStyle w:val="ListBullet"/>
              <w:rPr>
                <w:lang w:val="en-NZ"/>
              </w:rPr>
            </w:pPr>
            <w:r w:rsidRPr="004B46DD">
              <w:t>listen and respond to workplace information and suggestions from peers.</w:t>
            </w:r>
          </w:p>
        </w:tc>
      </w:tr>
      <w:tr w:rsidTr="004B46D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B46DD">
            <w:pPr>
              <w:pStyle w:val="BodyText"/>
              <w:rPr>
                <w:lang w:val="en-NZ"/>
              </w:rPr>
            </w:pPr>
            <w:r w:rsidRPr="004B46DD">
              <w:t>Numeracy skills to:</w:t>
            </w:r>
          </w:p>
        </w:tc>
        <w:tc>
          <w:tcPr>
            <w:tcW w:w="6350" w:type="dxa"/>
            <w:tcBorders>
              <w:top w:val="nil"/>
              <w:left w:val="nil"/>
              <w:bottom w:val="nil"/>
              <w:right w:val="nil"/>
            </w:tcBorders>
            <w:tcMar>
              <w:top w:w="0" w:type="dxa"/>
              <w:left w:w="62" w:type="dxa"/>
              <w:bottom w:w="0" w:type="dxa"/>
              <w:right w:w="62" w:type="dxa"/>
            </w:tcMar>
          </w:tcPr>
          <w:p w:rsidR="00000000" w:rsidRPr="004B46DD" w:rsidP="004B46DD">
            <w:pPr>
              <w:pStyle w:val="ListBullet"/>
            </w:pPr>
            <w:r w:rsidRPr="004B46DD">
              <w:t>interpret financial impact of goods and services tax (GST) and the wine equalisation tax (WET)</w:t>
            </w:r>
          </w:p>
          <w:p w:rsidR="00000000" w:rsidRPr="004B46DD" w:rsidP="004B46DD">
            <w:pPr>
              <w:pStyle w:val="ListBullet"/>
            </w:pPr>
            <w:r w:rsidRPr="004B46DD">
              <w:t>calculate costs of wine and profit margins</w:t>
            </w:r>
          </w:p>
          <w:p w:rsidR="00000000" w:rsidP="004B46DD">
            <w:pPr>
              <w:pStyle w:val="ListBullet"/>
              <w:rPr>
                <w:lang w:val="en-NZ"/>
              </w:rPr>
            </w:pPr>
            <w:r w:rsidRPr="004B46DD">
              <w:t>order wine stocks.</w:t>
            </w:r>
          </w:p>
        </w:tc>
      </w:tr>
      <w:tr w:rsidTr="004B46D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B46DD">
            <w:pPr>
              <w:pStyle w:val="BodyText"/>
              <w:rPr>
                <w:lang w:val="en-NZ"/>
              </w:rPr>
            </w:pPr>
            <w:r w:rsidRPr="004B46DD">
              <w:t>Lear</w:t>
            </w:r>
            <w:r w:rsidRPr="004B46DD">
              <w:t>ning skills to:</w:t>
            </w:r>
          </w:p>
        </w:tc>
        <w:tc>
          <w:tcPr>
            <w:tcW w:w="6350" w:type="dxa"/>
            <w:tcBorders>
              <w:top w:val="nil"/>
              <w:left w:val="nil"/>
              <w:bottom w:val="nil"/>
              <w:right w:val="nil"/>
            </w:tcBorders>
            <w:tcMar>
              <w:top w:w="0" w:type="dxa"/>
              <w:left w:w="62" w:type="dxa"/>
              <w:bottom w:w="0" w:type="dxa"/>
              <w:right w:w="62" w:type="dxa"/>
            </w:tcMar>
          </w:tcPr>
          <w:p w:rsidR="00000000" w:rsidP="004B46DD">
            <w:pPr>
              <w:pStyle w:val="ListBullet"/>
              <w:rPr>
                <w:lang w:val="en-NZ"/>
              </w:rPr>
            </w:pPr>
            <w:r w:rsidRPr="004B46DD">
              <w:t>research a wide range of potentially complex topics, and interpret, adapt and apply information from multiple sources to own practice.</w:t>
            </w:r>
          </w:p>
        </w:tc>
      </w:tr>
      <w:tr w:rsidTr="004B46D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B46DD">
            <w:pPr>
              <w:pStyle w:val="BodyText"/>
              <w:rPr>
                <w:lang w:val="en-NZ"/>
              </w:rPr>
            </w:pPr>
            <w:r w:rsidRPr="004B46DD">
              <w:t>Problem-solving skills to:</w:t>
            </w:r>
          </w:p>
        </w:tc>
        <w:tc>
          <w:tcPr>
            <w:tcW w:w="6350" w:type="dxa"/>
            <w:tcBorders>
              <w:top w:val="nil"/>
              <w:left w:val="nil"/>
              <w:bottom w:val="nil"/>
              <w:right w:val="nil"/>
            </w:tcBorders>
            <w:tcMar>
              <w:top w:w="0" w:type="dxa"/>
              <w:left w:w="62" w:type="dxa"/>
              <w:bottom w:w="0" w:type="dxa"/>
              <w:right w:w="62" w:type="dxa"/>
            </w:tcMar>
          </w:tcPr>
          <w:p w:rsidR="00000000" w:rsidP="004B46DD">
            <w:pPr>
              <w:pStyle w:val="ListBullet"/>
              <w:rPr>
                <w:lang w:val="en-NZ"/>
              </w:rPr>
            </w:pPr>
            <w:r w:rsidRPr="004B46DD">
              <w:t>develop business-wide responses to operational and management challenges.</w:t>
            </w:r>
          </w:p>
        </w:tc>
      </w:tr>
      <w:tr w:rsidTr="004B46D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B46DD">
            <w:pPr>
              <w:pStyle w:val="BodyText"/>
              <w:rPr>
                <w:lang w:val="en-NZ"/>
              </w:rPr>
            </w:pPr>
            <w:r w:rsidRPr="004B46DD">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RPr="004B46DD" w:rsidP="004B46DD">
            <w:pPr>
              <w:pStyle w:val="ListBullet"/>
            </w:pPr>
            <w:r w:rsidRPr="004B46DD">
              <w:t>identify opportunities for improving wine management systems.</w:t>
            </w:r>
          </w:p>
        </w:tc>
      </w:tr>
    </w:tbl>
    <w:p w:rsidR="00000000" w:rsidRPr="004B46DD" w:rsidP="004B46DD">
      <w:pPr>
        <w:pStyle w:val="BodyText"/>
      </w:pPr>
    </w:p>
    <w:p w:rsidR="00000000" w:rsidRPr="004B46DD" w:rsidP="004B46DD">
      <w:pPr>
        <w:pStyle w:val="AllowPageBreak"/>
      </w:pPr>
    </w:p>
    <w:p w:rsidR="00000000" w:rsidRPr="004B46DD" w:rsidP="004B46DD">
      <w:pPr>
        <w:pStyle w:val="Heading1"/>
      </w:pPr>
      <w:bookmarkStart w:id="8" w:name="O_1229597"/>
      <w:bookmarkEnd w:id="8"/>
      <w:r w:rsidRPr="004B46DD">
        <w:t>Unit Mapping Information</w:t>
      </w:r>
    </w:p>
    <w:p w:rsidR="00000000" w:rsidRPr="004B46DD" w:rsidP="00D9751C">
      <w:pPr>
        <w:pStyle w:val="BodyText"/>
      </w:pPr>
      <w:r w:rsidRPr="004B46DD">
        <w:t>Supersedes and is not equivalent to SITHFAB020 Manage the sale or service of wine.</w:t>
      </w:r>
    </w:p>
    <w:p w:rsidR="00000000" w:rsidRPr="004B46DD" w:rsidP="004B46DD">
      <w:pPr>
        <w:pStyle w:val="Heading1"/>
      </w:pPr>
      <w:bookmarkStart w:id="9" w:name="O_1229590"/>
      <w:bookmarkEnd w:id="9"/>
      <w:r w:rsidRPr="004B46DD">
        <w:t>Links</w:t>
      </w:r>
    </w:p>
    <w:p w:rsidR="00000000" w:rsidRPr="004B46DD" w:rsidP="00D9751C">
      <w:pPr>
        <w:pStyle w:val="BodyText"/>
      </w:pPr>
      <w:r w:rsidRPr="004B46DD">
        <w:t>Co</w:t>
      </w:r>
      <w:r w:rsidRPr="004B46DD">
        <w:t xml:space="preserve">mpanion Volume implementation guides are found in VETNet - </w:t>
      </w:r>
      <w:r>
        <w:fldChar w:fldCharType="begin"/>
      </w:r>
      <w:r>
        <w:instrText xml:space="preserve"> HYPERLINK "https://vetnet.gov.au/Pages/TrainingDocs.aspx?q=68c40a93-e51d-4e0f-bc06-899dff092694" </w:instrText>
      </w:r>
      <w:r>
        <w:fldChar w:fldCharType="separate"/>
      </w:r>
      <w:r w:rsidRPr="004F58E3">
        <w:rPr>
          <w:rStyle w:val="Hyperlink"/>
        </w:rPr>
        <w:t>https://vetnet.gov.au/Pages/TrainingDocs.aspx?q=68c40a93-e51d-4e0f-bc06-899dff092694</w:t>
      </w:r>
      <w:r>
        <w:fldChar w:fldCharType="end"/>
      </w:r>
    </w:p>
    <w:p w:rsidR="00000000" w:rsidRPr="004B46DD" w:rsidP="004B46DD"/>
    <w:sectPr w:rsidSect="004B46D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6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6DD" w:rsidRPr="00D9751C" w:rsidP="00D975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6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51C" w:rsidP="004B46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751C" w:rsidP="004B46D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D9751C" w:rsidP="004B46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6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5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46DD" w:rsidRPr="00D9751C" w:rsidP="00D975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6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51C" w:rsidRPr="002D2AF8" w:rsidP="004B46DD">
    <w:pPr>
      <w:pStyle w:val="Header"/>
      <w:framePr w:wrap="around"/>
    </w:pPr>
    <w:r>
      <w:fldChar w:fldCharType="begin"/>
    </w:r>
    <w:r>
      <w:instrText xml:space="preserve"> TITLE   \* MERGEFORMAT </w:instrText>
    </w:r>
    <w:r>
      <w:fldChar w:fldCharType="separate"/>
    </w:r>
    <w:r>
      <w:t>SITHFAB039 Manage the sale or service of wine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D9751C" w:rsidP="004B46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E443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D4FE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6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46DD"/>
    <w:pPr>
      <w:spacing w:before="360" w:after="60"/>
      <w:outlineLvl w:val="0"/>
    </w:pPr>
    <w:rPr>
      <w:sz w:val="32"/>
    </w:rPr>
  </w:style>
  <w:style w:type="paragraph" w:styleId="Heading2">
    <w:name w:val="heading 2"/>
    <w:basedOn w:val="HeadingBase"/>
    <w:next w:val="BodyText"/>
    <w:link w:val="Heading2Char"/>
    <w:qFormat/>
    <w:rsid w:val="004B46DD"/>
    <w:pPr>
      <w:keepLines/>
      <w:spacing w:before="240" w:after="120"/>
      <w:outlineLvl w:val="1"/>
    </w:pPr>
    <w:rPr>
      <w:sz w:val="28"/>
      <w:szCs w:val="40"/>
    </w:rPr>
  </w:style>
  <w:style w:type="paragraph" w:styleId="Heading3">
    <w:name w:val="heading 3"/>
    <w:basedOn w:val="HeadingBase"/>
    <w:next w:val="BodyText"/>
    <w:link w:val="Heading3Char"/>
    <w:qFormat/>
    <w:rsid w:val="004B46DD"/>
    <w:pPr>
      <w:spacing w:before="180" w:after="120"/>
      <w:outlineLvl w:val="2"/>
    </w:pPr>
    <w:rPr>
      <w:spacing w:val="-10"/>
      <w:kern w:val="32"/>
    </w:rPr>
  </w:style>
  <w:style w:type="paragraph" w:styleId="Heading4">
    <w:name w:val="heading 4"/>
    <w:basedOn w:val="HeadingBase"/>
    <w:next w:val="BodyText"/>
    <w:link w:val="Heading4Char"/>
    <w:qFormat/>
    <w:rsid w:val="004B46DD"/>
    <w:pPr>
      <w:spacing w:before="160" w:after="120"/>
      <w:outlineLvl w:val="3"/>
    </w:pPr>
    <w:rPr>
      <w:sz w:val="22"/>
    </w:rPr>
  </w:style>
  <w:style w:type="paragraph" w:styleId="Heading5">
    <w:name w:val="heading 5"/>
    <w:basedOn w:val="HeadingBase"/>
    <w:next w:val="Normal"/>
    <w:link w:val="Heading5Char"/>
    <w:qFormat/>
    <w:rsid w:val="004B46DD"/>
    <w:pPr>
      <w:spacing w:before="80"/>
      <w:outlineLvl w:val="4"/>
    </w:pPr>
    <w:rPr>
      <w:color w:val="918585"/>
      <w:sz w:val="20"/>
    </w:rPr>
  </w:style>
  <w:style w:type="paragraph" w:styleId="Heading6">
    <w:name w:val="heading 6"/>
    <w:basedOn w:val="HeadingBase"/>
    <w:next w:val="Normal"/>
    <w:link w:val="Heading6Char"/>
    <w:qFormat/>
    <w:rsid w:val="004B46DD"/>
    <w:pPr>
      <w:spacing w:before="60"/>
      <w:outlineLvl w:val="5"/>
    </w:pPr>
    <w:rPr>
      <w:color w:val="918585"/>
      <w:sz w:val="20"/>
    </w:rPr>
  </w:style>
  <w:style w:type="paragraph" w:styleId="Heading7">
    <w:name w:val="heading 7"/>
    <w:basedOn w:val="Normal"/>
    <w:next w:val="Normal"/>
    <w:link w:val="Heading7Char"/>
    <w:qFormat/>
    <w:rsid w:val="004B46DD"/>
    <w:pPr>
      <w:ind w:left="720"/>
      <w:outlineLvl w:val="6"/>
    </w:pPr>
    <w:rPr>
      <w:i/>
    </w:rPr>
  </w:style>
  <w:style w:type="paragraph" w:styleId="Heading8">
    <w:name w:val="heading 8"/>
    <w:basedOn w:val="Normal"/>
    <w:next w:val="Normal"/>
    <w:link w:val="Heading8Char"/>
    <w:qFormat/>
    <w:rsid w:val="004B46DD"/>
    <w:pPr>
      <w:ind w:left="720"/>
      <w:outlineLvl w:val="7"/>
    </w:pPr>
    <w:rPr>
      <w:i/>
    </w:rPr>
  </w:style>
  <w:style w:type="paragraph" w:styleId="Heading9">
    <w:name w:val="heading 9"/>
    <w:basedOn w:val="Normal"/>
    <w:next w:val="Normal"/>
    <w:link w:val="Heading9Char"/>
    <w:qFormat/>
    <w:rsid w:val="004B46DD"/>
    <w:pPr>
      <w:ind w:left="720"/>
      <w:outlineLvl w:val="8"/>
    </w:pPr>
    <w:rPr>
      <w:i/>
    </w:rPr>
  </w:style>
  <w:style w:type="character" w:default="1" w:styleId="DefaultParagraphFont">
    <w:name w:val="Default Paragraph Font"/>
    <w:uiPriority w:val="1"/>
    <w:unhideWhenUsed/>
    <w:rsid w:val="004B46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46DD"/>
  </w:style>
  <w:style w:type="character" w:customStyle="1" w:styleId="Heading1Char">
    <w:name w:val="Heading 1 Char"/>
    <w:basedOn w:val="DefaultParagraphFont"/>
    <w:link w:val="Heading1"/>
    <w:rsid w:val="004B46DD"/>
    <w:rPr>
      <w:rFonts w:ascii="Times New Roman" w:eastAsia="Times New Roman" w:hAnsi="Times New Roman" w:cs="Times New Roman"/>
      <w:b/>
      <w:sz w:val="32"/>
      <w:szCs w:val="20"/>
      <w:lang w:eastAsia="en-US"/>
    </w:rPr>
  </w:style>
  <w:style w:type="paragraph" w:styleId="BodyText">
    <w:name w:val="Body Text"/>
    <w:basedOn w:val="Normal"/>
    <w:link w:val="BodyTextChar"/>
    <w:rsid w:val="004B46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46DD"/>
    <w:rPr>
      <w:rFonts w:ascii="Times New Roman" w:eastAsia="Times New Roman" w:hAnsi="Times New Roman" w:cs="Times New Roman"/>
      <w:sz w:val="24"/>
      <w:lang w:eastAsia="en-US"/>
    </w:rPr>
  </w:style>
  <w:style w:type="paragraph" w:styleId="List">
    <w:name w:val="List"/>
    <w:basedOn w:val="BodyText"/>
    <w:next w:val="BodyText"/>
    <w:rsid w:val="004B46DD"/>
    <w:pPr>
      <w:tabs>
        <w:tab w:val="left" w:pos="340"/>
      </w:tabs>
      <w:spacing w:before="60" w:after="60"/>
      <w:ind w:left="340" w:hanging="340"/>
    </w:pPr>
  </w:style>
  <w:style w:type="paragraph" w:styleId="ListBullet">
    <w:name w:val="List Bullet"/>
    <w:basedOn w:val="List"/>
    <w:rsid w:val="004B46DD"/>
    <w:pPr>
      <w:numPr>
        <w:numId w:val="11"/>
      </w:numPr>
      <w:tabs>
        <w:tab w:val="clear" w:pos="340"/>
      </w:tabs>
      <w:spacing w:before="40" w:after="40"/>
    </w:pPr>
  </w:style>
  <w:style w:type="character" w:customStyle="1" w:styleId="SpecialBold">
    <w:name w:val="Special Bold"/>
    <w:basedOn w:val="DefaultParagraphFont"/>
    <w:rsid w:val="004B46DD"/>
    <w:rPr>
      <w:b/>
      <w:spacing w:val="0"/>
    </w:rPr>
  </w:style>
  <w:style w:type="character" w:styleId="Emphasis">
    <w:name w:val="Emphasis"/>
    <w:basedOn w:val="DefaultParagraphFont"/>
    <w:qFormat/>
    <w:rsid w:val="004B46DD"/>
    <w:rPr>
      <w:i/>
    </w:rPr>
  </w:style>
  <w:style w:type="paragraph" w:customStyle="1" w:styleId="SuperHeading">
    <w:name w:val="SuperHeading"/>
    <w:basedOn w:val="Normal"/>
    <w:rsid w:val="004B46DD"/>
    <w:pPr>
      <w:spacing w:before="240" w:after="120"/>
      <w:outlineLvl w:val="0"/>
    </w:pPr>
    <w:rPr>
      <w:rFonts w:ascii="Times New Roman" w:hAnsi="Times New Roman"/>
      <w:b/>
      <w:sz w:val="32"/>
    </w:rPr>
  </w:style>
  <w:style w:type="paragraph" w:customStyle="1" w:styleId="AllowPageBreak">
    <w:name w:val="AllowPageBreak"/>
    <w:rsid w:val="004B46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46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46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46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46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46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46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46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46DD"/>
    <w:rPr>
      <w:rFonts w:ascii="Courier New" w:eastAsia="Times New Roman" w:hAnsi="Courier New" w:cs="Times New Roman"/>
      <w:i/>
      <w:szCs w:val="20"/>
      <w:lang w:eastAsia="en-US"/>
    </w:rPr>
  </w:style>
  <w:style w:type="paragraph" w:customStyle="1" w:styleId="HeadingBase">
    <w:name w:val="Heading Base"/>
    <w:rsid w:val="004B46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46DD"/>
    <w:pPr>
      <w:tabs>
        <w:tab w:val="right" w:leader="dot" w:pos="9072"/>
      </w:tabs>
      <w:ind w:left="567"/>
    </w:pPr>
    <w:rPr>
      <w:szCs w:val="22"/>
    </w:rPr>
  </w:style>
  <w:style w:type="paragraph" w:customStyle="1" w:styleId="TOCBase">
    <w:name w:val="TOC Base"/>
    <w:rsid w:val="004B46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46DD"/>
    <w:pPr>
      <w:tabs>
        <w:tab w:val="right" w:leader="dot" w:pos="9072"/>
      </w:tabs>
      <w:spacing w:before="40" w:after="40"/>
      <w:ind w:left="284"/>
    </w:pPr>
    <w:rPr>
      <w:rFonts w:ascii="Times New Roman" w:hAnsi="Times New Roman"/>
    </w:rPr>
  </w:style>
  <w:style w:type="paragraph" w:styleId="TOC1">
    <w:name w:val="toc 1"/>
    <w:basedOn w:val="TOCBase"/>
    <w:next w:val="Normal"/>
    <w:rsid w:val="004B46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46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46DD"/>
    <w:rPr>
      <w:rFonts w:ascii="Times New Roman" w:eastAsia="Times New Roman" w:hAnsi="Times New Roman" w:cs="Times New Roman"/>
      <w:sz w:val="16"/>
      <w:lang w:eastAsia="en-US"/>
    </w:rPr>
  </w:style>
  <w:style w:type="paragraph" w:styleId="Title">
    <w:name w:val="Title"/>
    <w:basedOn w:val="HeadingBase"/>
    <w:link w:val="TitleChar"/>
    <w:qFormat/>
    <w:rsid w:val="004B46DD"/>
    <w:pPr>
      <w:spacing w:before="5040"/>
      <w:jc w:val="center"/>
    </w:pPr>
    <w:rPr>
      <w:sz w:val="48"/>
      <w:szCs w:val="72"/>
      <w:lang w:val="en-US"/>
    </w:rPr>
  </w:style>
  <w:style w:type="character" w:customStyle="1" w:styleId="TitleChar">
    <w:name w:val="Title Char"/>
    <w:basedOn w:val="DefaultParagraphFont"/>
    <w:link w:val="Title"/>
    <w:rsid w:val="004B46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46DD"/>
    <w:pPr>
      <w:tabs>
        <w:tab w:val="left" w:pos="3600"/>
        <w:tab w:val="left" w:pos="3958"/>
      </w:tabs>
    </w:pPr>
  </w:style>
  <w:style w:type="paragraph" w:customStyle="1" w:styleId="Note">
    <w:name w:val="Note"/>
    <w:basedOn w:val="BodyText"/>
    <w:rsid w:val="004B46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46DD"/>
    <w:pPr>
      <w:framePr w:wrap="auto" w:hAnchor="text" w:y="6049"/>
    </w:pPr>
    <w:rPr>
      <w:color w:val="000000"/>
      <w:sz w:val="40"/>
    </w:rPr>
  </w:style>
  <w:style w:type="paragraph" w:customStyle="1" w:styleId="TOCTitle">
    <w:name w:val="TOCTitle"/>
    <w:basedOn w:val="Heading1"/>
    <w:rsid w:val="004B46DD"/>
    <w:pPr>
      <w:spacing w:after="240"/>
      <w:jc w:val="center"/>
      <w:outlineLvl w:val="9"/>
    </w:pPr>
    <w:rPr>
      <w:caps/>
    </w:rPr>
  </w:style>
  <w:style w:type="paragraph" w:customStyle="1" w:styleId="Version">
    <w:name w:val="Version"/>
    <w:rsid w:val="004B46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46DD"/>
    <w:pPr>
      <w:numPr>
        <w:numId w:val="12"/>
      </w:numPr>
      <w:tabs>
        <w:tab w:val="clear" w:pos="680"/>
      </w:tabs>
    </w:pPr>
  </w:style>
  <w:style w:type="paragraph" w:styleId="Index1">
    <w:name w:val="index 1"/>
    <w:basedOn w:val="Normal"/>
    <w:next w:val="Normal"/>
    <w:semiHidden/>
    <w:rsid w:val="004B46DD"/>
    <w:pPr>
      <w:keepNext w:val="0"/>
      <w:tabs>
        <w:tab w:val="right" w:pos="4176"/>
      </w:tabs>
      <w:ind w:left="198" w:hanging="198"/>
    </w:pPr>
    <w:rPr>
      <w:rFonts w:ascii="Garamond" w:hAnsi="Garamond"/>
    </w:rPr>
  </w:style>
  <w:style w:type="paragraph" w:styleId="IndexHeading">
    <w:name w:val="index heading"/>
    <w:basedOn w:val="Normal"/>
    <w:next w:val="Index1"/>
    <w:semiHidden/>
    <w:rsid w:val="004B46DD"/>
    <w:pPr>
      <w:spacing w:before="120" w:after="120"/>
    </w:pPr>
    <w:rPr>
      <w:rFonts w:ascii="Arial" w:hAnsi="Arial"/>
      <w:b/>
      <w:color w:val="918585"/>
      <w:sz w:val="24"/>
    </w:rPr>
  </w:style>
  <w:style w:type="paragraph" w:styleId="Header">
    <w:name w:val="header"/>
    <w:basedOn w:val="Normal"/>
    <w:link w:val="HeaderChar"/>
    <w:rsid w:val="004B46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46DD"/>
    <w:rPr>
      <w:rFonts w:ascii="Times New Roman" w:eastAsia="Times New Roman" w:hAnsi="Times New Roman" w:cs="Times New Roman"/>
      <w:sz w:val="16"/>
      <w:szCs w:val="20"/>
      <w:lang w:val="en-GB" w:eastAsia="en-US"/>
    </w:rPr>
  </w:style>
  <w:style w:type="paragraph" w:customStyle="1" w:styleId="Chapter">
    <w:name w:val="Chapter"/>
    <w:basedOn w:val="Normal"/>
    <w:rsid w:val="004B46DD"/>
    <w:pPr>
      <w:spacing w:before="240"/>
    </w:pPr>
    <w:rPr>
      <w:rFonts w:ascii="Times New Roman" w:hAnsi="Times New Roman"/>
      <w:smallCaps/>
      <w:spacing w:val="80"/>
      <w:sz w:val="28"/>
    </w:rPr>
  </w:style>
  <w:style w:type="paragraph" w:customStyle="1" w:styleId="InChapter">
    <w:name w:val="InChapter"/>
    <w:basedOn w:val="Heading3"/>
    <w:rsid w:val="004B46DD"/>
    <w:pPr>
      <w:spacing w:after="240"/>
      <w:outlineLvl w:val="9"/>
    </w:pPr>
    <w:rPr>
      <w:noProof/>
    </w:rPr>
  </w:style>
  <w:style w:type="paragraph" w:styleId="Index2">
    <w:name w:val="index 2"/>
    <w:basedOn w:val="Normal"/>
    <w:next w:val="Normal"/>
    <w:semiHidden/>
    <w:rsid w:val="004B46DD"/>
    <w:pPr>
      <w:tabs>
        <w:tab w:val="right" w:pos="4176"/>
      </w:tabs>
      <w:ind w:left="568" w:hanging="284"/>
    </w:pPr>
    <w:rPr>
      <w:rFonts w:ascii="Garamond" w:hAnsi="Garamond"/>
    </w:rPr>
  </w:style>
  <w:style w:type="paragraph" w:customStyle="1" w:styleId="Byline">
    <w:name w:val="Byline"/>
    <w:rsid w:val="004B46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46DD"/>
    <w:pPr>
      <w:tabs>
        <w:tab w:val="clear" w:pos="3600"/>
        <w:tab w:val="clear" w:pos="3958"/>
      </w:tabs>
      <w:jc w:val="right"/>
    </w:pPr>
  </w:style>
  <w:style w:type="paragraph" w:styleId="Caption">
    <w:name w:val="caption"/>
    <w:basedOn w:val="BodyText"/>
    <w:next w:val="Normal"/>
    <w:qFormat/>
    <w:rsid w:val="004B46DD"/>
    <w:pPr>
      <w:framePr w:w="2268" w:hSpace="181" w:vSpace="181" w:wrap="around" w:vAnchor="text" w:hAnchor="page" w:x="1135" w:y="285" w:anchorLock="1"/>
    </w:pPr>
    <w:rPr>
      <w:i/>
    </w:rPr>
  </w:style>
  <w:style w:type="paragraph" w:customStyle="1" w:styleId="MiniTOCTitle">
    <w:name w:val="MiniTOCTitle"/>
    <w:basedOn w:val="Heading4"/>
    <w:rsid w:val="004B46DD"/>
    <w:pPr>
      <w:spacing w:before="240"/>
      <w:outlineLvl w:val="9"/>
    </w:pPr>
    <w:rPr>
      <w:noProof/>
      <w:sz w:val="24"/>
    </w:rPr>
  </w:style>
  <w:style w:type="paragraph" w:customStyle="1" w:styleId="MiniTOCItem">
    <w:name w:val="MiniTOCItem"/>
    <w:basedOn w:val="ListBullet"/>
    <w:rsid w:val="004B46DD"/>
    <w:pPr>
      <w:numPr>
        <w:numId w:val="0"/>
      </w:numPr>
      <w:tabs>
        <w:tab w:val="right" w:leader="dot" w:pos="6521"/>
      </w:tabs>
      <w:spacing w:before="0" w:after="0"/>
    </w:pPr>
  </w:style>
  <w:style w:type="paragraph" w:customStyle="1" w:styleId="TOFTitle">
    <w:name w:val="TOFTitle"/>
    <w:basedOn w:val="TOCTitle"/>
    <w:rsid w:val="004B46DD"/>
  </w:style>
  <w:style w:type="paragraph" w:styleId="TableofFigures">
    <w:name w:val="table of figures"/>
    <w:basedOn w:val="Normal"/>
    <w:next w:val="Normal"/>
    <w:semiHidden/>
    <w:rsid w:val="004B46DD"/>
    <w:pPr>
      <w:tabs>
        <w:tab w:val="right" w:leader="dot" w:pos="9072"/>
      </w:tabs>
      <w:ind w:left="970" w:hanging="403"/>
    </w:pPr>
    <w:rPr>
      <w:rFonts w:ascii="Times New Roman" w:hAnsi="Times New Roman"/>
      <w:b/>
    </w:rPr>
  </w:style>
  <w:style w:type="paragraph" w:styleId="ListNumber">
    <w:name w:val="List Number"/>
    <w:basedOn w:val="List"/>
    <w:rsid w:val="004B46DD"/>
    <w:pPr>
      <w:numPr>
        <w:numId w:val="14"/>
      </w:numPr>
      <w:tabs>
        <w:tab w:val="clear" w:pos="340"/>
      </w:tabs>
    </w:pPr>
  </w:style>
  <w:style w:type="character" w:customStyle="1" w:styleId="WingdingSymbols">
    <w:name w:val="Wingding Symbols"/>
    <w:rsid w:val="004B46DD"/>
    <w:rPr>
      <w:rFonts w:ascii="Wingdings" w:hAnsi="Wingdings"/>
    </w:rPr>
  </w:style>
  <w:style w:type="paragraph" w:customStyle="1" w:styleId="TableHeading">
    <w:name w:val="Table Heading"/>
    <w:basedOn w:val="HeadingBase"/>
    <w:rsid w:val="004B46DD"/>
    <w:pPr>
      <w:keepLines/>
      <w:pBdr>
        <w:bottom w:val="single" w:sz="6" w:space="1" w:color="918585"/>
      </w:pBdr>
      <w:spacing w:before="240"/>
    </w:pPr>
  </w:style>
  <w:style w:type="character" w:customStyle="1" w:styleId="HotSpot">
    <w:name w:val="HotSpot"/>
    <w:rsid w:val="004B46DD"/>
    <w:rPr>
      <w:color w:val="0033CC"/>
      <w:u w:val="none"/>
    </w:rPr>
  </w:style>
  <w:style w:type="paragraph" w:customStyle="1" w:styleId="BodyTextRight">
    <w:name w:val="Body Text Right"/>
    <w:basedOn w:val="BodyText"/>
    <w:rsid w:val="004B46DD"/>
    <w:pPr>
      <w:spacing w:before="0" w:after="0"/>
      <w:jc w:val="right"/>
    </w:pPr>
  </w:style>
  <w:style w:type="paragraph" w:styleId="Index3">
    <w:name w:val="index 3"/>
    <w:basedOn w:val="ListNumber2"/>
    <w:next w:val="Normal"/>
    <w:semiHidden/>
    <w:rsid w:val="004B46DD"/>
    <w:pPr>
      <w:numPr>
        <w:numId w:val="0"/>
      </w:numPr>
      <w:tabs>
        <w:tab w:val="right" w:leader="dot" w:pos="4176"/>
      </w:tabs>
    </w:pPr>
  </w:style>
  <w:style w:type="paragraph" w:styleId="ListNumber2">
    <w:name w:val="List Number 2"/>
    <w:basedOn w:val="List2"/>
    <w:rsid w:val="004B46DD"/>
    <w:pPr>
      <w:numPr>
        <w:numId w:val="9"/>
      </w:numPr>
      <w:tabs>
        <w:tab w:val="clear" w:pos="1060"/>
      </w:tabs>
    </w:pPr>
  </w:style>
  <w:style w:type="paragraph" w:customStyle="1" w:styleId="MarginNote">
    <w:name w:val="Margin Note"/>
    <w:basedOn w:val="BodyText"/>
    <w:rsid w:val="004B46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46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46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46DD"/>
    <w:rPr>
      <w:sz w:val="32"/>
    </w:rPr>
  </w:style>
  <w:style w:type="paragraph" w:customStyle="1" w:styleId="HeadingProcedure">
    <w:name w:val="Heading Procedure"/>
    <w:basedOn w:val="HeadingBase"/>
    <w:next w:val="Normal"/>
    <w:rsid w:val="004B46DD"/>
    <w:pPr>
      <w:tabs>
        <w:tab w:val="left" w:pos="0"/>
      </w:tabs>
      <w:spacing w:before="120" w:after="60"/>
    </w:pPr>
    <w:rPr>
      <w:i/>
      <w:color w:val="918585"/>
      <w:sz w:val="22"/>
    </w:rPr>
  </w:style>
  <w:style w:type="paragraph" w:customStyle="1" w:styleId="TableBodyText">
    <w:name w:val="Table Body Text"/>
    <w:basedOn w:val="BodyText"/>
    <w:rsid w:val="004B46DD"/>
    <w:pPr>
      <w:spacing w:before="60" w:after="60"/>
    </w:pPr>
  </w:style>
  <w:style w:type="paragraph" w:styleId="ListContinue">
    <w:name w:val="List Continue"/>
    <w:basedOn w:val="List"/>
    <w:rsid w:val="004B46DD"/>
    <w:pPr>
      <w:ind w:firstLine="0"/>
    </w:pPr>
  </w:style>
  <w:style w:type="paragraph" w:customStyle="1" w:styleId="ListNote">
    <w:name w:val="List Note"/>
    <w:basedOn w:val="List"/>
    <w:rsid w:val="004B46DD"/>
    <w:pPr>
      <w:pBdr>
        <w:top w:val="single" w:sz="6" w:space="2" w:color="918585"/>
        <w:bottom w:val="single" w:sz="6" w:space="2" w:color="918585"/>
      </w:pBdr>
      <w:tabs>
        <w:tab w:val="left" w:pos="1021"/>
      </w:tabs>
      <w:ind w:firstLine="0"/>
    </w:pPr>
  </w:style>
  <w:style w:type="paragraph" w:customStyle="1" w:styleId="Warning">
    <w:name w:val="Warning"/>
    <w:basedOn w:val="BodyText"/>
    <w:rsid w:val="004B46DD"/>
    <w:pPr>
      <w:shd w:val="clear" w:color="auto" w:fill="D9D9D9"/>
      <w:tabs>
        <w:tab w:val="left" w:pos="992"/>
      </w:tabs>
      <w:ind w:left="119" w:right="119"/>
    </w:pPr>
    <w:rPr>
      <w:sz w:val="20"/>
    </w:rPr>
  </w:style>
  <w:style w:type="paragraph" w:customStyle="1" w:styleId="MarginIcons">
    <w:name w:val="Margin Icons"/>
    <w:basedOn w:val="BodyText"/>
    <w:rsid w:val="004B46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46DD"/>
    <w:rPr>
      <w:rFonts w:ascii="Courier New" w:hAnsi="Courier New"/>
    </w:rPr>
  </w:style>
  <w:style w:type="paragraph" w:customStyle="1" w:styleId="NoteBullet">
    <w:name w:val="Note Bullet"/>
    <w:basedOn w:val="Note"/>
    <w:rsid w:val="004B46DD"/>
    <w:pPr>
      <w:tabs>
        <w:tab w:val="clear" w:pos="680"/>
      </w:tabs>
      <w:spacing w:before="60" w:after="60"/>
    </w:pPr>
  </w:style>
  <w:style w:type="paragraph" w:customStyle="1" w:styleId="SubHeading2">
    <w:name w:val="SubHeading2"/>
    <w:basedOn w:val="HeadingBase"/>
    <w:rsid w:val="004B46DD"/>
    <w:pPr>
      <w:spacing w:before="240" w:after="60"/>
    </w:pPr>
    <w:rPr>
      <w:sz w:val="20"/>
    </w:rPr>
  </w:style>
  <w:style w:type="paragraph" w:customStyle="1" w:styleId="SubHeading1">
    <w:name w:val="SubHeading1"/>
    <w:basedOn w:val="HeadingBase"/>
    <w:rsid w:val="004B46DD"/>
    <w:pPr>
      <w:spacing w:before="240" w:after="60"/>
    </w:pPr>
    <w:rPr>
      <w:color w:val="918585"/>
      <w:sz w:val="22"/>
    </w:rPr>
  </w:style>
  <w:style w:type="paragraph" w:customStyle="1" w:styleId="SideHeading">
    <w:name w:val="Side Heading"/>
    <w:basedOn w:val="HeadingBase"/>
    <w:rsid w:val="004B46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46DD"/>
    <w:pPr>
      <w:numPr>
        <w:numId w:val="10"/>
      </w:numPr>
    </w:pPr>
  </w:style>
  <w:style w:type="paragraph" w:styleId="PlainText">
    <w:name w:val="Plain Text"/>
    <w:basedOn w:val="Normal"/>
    <w:link w:val="PlainTextChar"/>
    <w:rsid w:val="004B46DD"/>
    <w:rPr>
      <w:sz w:val="20"/>
    </w:rPr>
  </w:style>
  <w:style w:type="character" w:customStyle="1" w:styleId="PlainTextChar">
    <w:name w:val="Plain Text Char"/>
    <w:basedOn w:val="DefaultParagraphFont"/>
    <w:link w:val="PlainText"/>
    <w:rsid w:val="004B46DD"/>
    <w:rPr>
      <w:rFonts w:ascii="Courier New" w:eastAsia="Times New Roman" w:hAnsi="Courier New" w:cs="Times New Roman"/>
      <w:sz w:val="20"/>
      <w:szCs w:val="20"/>
      <w:lang w:eastAsia="en-US"/>
    </w:rPr>
  </w:style>
  <w:style w:type="character" w:customStyle="1" w:styleId="MenuOption">
    <w:name w:val="Menu Option"/>
    <w:basedOn w:val="DefaultParagraphFont"/>
    <w:rsid w:val="004B46DD"/>
    <w:rPr>
      <w:b/>
      <w:smallCaps/>
    </w:rPr>
  </w:style>
  <w:style w:type="paragraph" w:customStyle="1" w:styleId="TableListNumber">
    <w:name w:val="Table List Number"/>
    <w:basedOn w:val="ListNumber"/>
    <w:rsid w:val="004B46DD"/>
    <w:pPr>
      <w:numPr>
        <w:numId w:val="0"/>
      </w:numPr>
    </w:pPr>
  </w:style>
  <w:style w:type="paragraph" w:styleId="TOC4">
    <w:name w:val="toc 4"/>
    <w:basedOn w:val="TOCBase"/>
    <w:next w:val="Normal"/>
    <w:semiHidden/>
    <w:rsid w:val="004B46DD"/>
    <w:pPr>
      <w:tabs>
        <w:tab w:val="right" w:leader="dot" w:pos="9071"/>
      </w:tabs>
      <w:ind w:left="1701"/>
    </w:pPr>
  </w:style>
  <w:style w:type="paragraph" w:customStyle="1" w:styleId="ListAlpha">
    <w:name w:val="List Alpha"/>
    <w:basedOn w:val="List"/>
    <w:rsid w:val="004B46DD"/>
    <w:pPr>
      <w:numPr>
        <w:numId w:val="8"/>
      </w:numPr>
    </w:pPr>
  </w:style>
  <w:style w:type="paragraph" w:customStyle="1" w:styleId="ListAlpha2">
    <w:name w:val="List Alpha 2"/>
    <w:basedOn w:val="List2"/>
    <w:rsid w:val="004B46DD"/>
    <w:pPr>
      <w:numPr>
        <w:numId w:val="7"/>
      </w:numPr>
    </w:pPr>
  </w:style>
  <w:style w:type="paragraph" w:styleId="List2">
    <w:name w:val="List 2"/>
    <w:basedOn w:val="BodyText"/>
    <w:rsid w:val="004B46DD"/>
    <w:pPr>
      <w:tabs>
        <w:tab w:val="left" w:pos="680"/>
      </w:tabs>
      <w:spacing w:before="60" w:after="60"/>
      <w:ind w:left="680" w:hanging="340"/>
    </w:pPr>
  </w:style>
  <w:style w:type="paragraph" w:styleId="List3">
    <w:name w:val="List 3"/>
    <w:basedOn w:val="BodyText"/>
    <w:rsid w:val="004B46DD"/>
    <w:pPr>
      <w:tabs>
        <w:tab w:val="left" w:pos="1021"/>
      </w:tabs>
      <w:spacing w:before="60" w:after="60"/>
      <w:ind w:left="1020" w:hanging="340"/>
    </w:pPr>
  </w:style>
  <w:style w:type="paragraph" w:styleId="List4">
    <w:name w:val="List 4"/>
    <w:basedOn w:val="BodyText"/>
    <w:rsid w:val="004B46DD"/>
    <w:pPr>
      <w:tabs>
        <w:tab w:val="left" w:pos="1361"/>
      </w:tabs>
      <w:spacing w:before="60" w:after="60"/>
      <w:ind w:left="1361" w:hanging="340"/>
    </w:pPr>
  </w:style>
  <w:style w:type="paragraph" w:styleId="List5">
    <w:name w:val="List 5"/>
    <w:basedOn w:val="BodyText"/>
    <w:rsid w:val="004B46DD"/>
    <w:pPr>
      <w:tabs>
        <w:tab w:val="left" w:pos="1701"/>
      </w:tabs>
      <w:spacing w:before="60" w:after="60"/>
      <w:ind w:left="1701" w:hanging="340"/>
    </w:pPr>
  </w:style>
  <w:style w:type="paragraph" w:styleId="ListBullet3">
    <w:name w:val="List Bullet 3"/>
    <w:basedOn w:val="List3"/>
    <w:rsid w:val="004B46DD"/>
    <w:pPr>
      <w:numPr>
        <w:numId w:val="13"/>
      </w:numPr>
      <w:tabs>
        <w:tab w:val="clear" w:pos="1021"/>
      </w:tabs>
      <w:ind w:left="1037" w:hanging="357"/>
    </w:pPr>
  </w:style>
  <w:style w:type="paragraph" w:styleId="ListBullet4">
    <w:name w:val="List Bullet 4"/>
    <w:basedOn w:val="List4"/>
    <w:rsid w:val="004B46DD"/>
    <w:pPr>
      <w:numPr>
        <w:numId w:val="2"/>
      </w:numPr>
      <w:tabs>
        <w:tab w:val="clear" w:pos="1361"/>
      </w:tabs>
    </w:pPr>
  </w:style>
  <w:style w:type="paragraph" w:styleId="ListBullet5">
    <w:name w:val="List Bullet 5"/>
    <w:basedOn w:val="List5"/>
    <w:rsid w:val="004B46DD"/>
    <w:pPr>
      <w:numPr>
        <w:numId w:val="3"/>
      </w:numPr>
    </w:pPr>
  </w:style>
  <w:style w:type="paragraph" w:styleId="ListContinue2">
    <w:name w:val="List Continue 2"/>
    <w:basedOn w:val="List2"/>
    <w:rsid w:val="004B46DD"/>
    <w:pPr>
      <w:ind w:firstLine="0"/>
    </w:pPr>
  </w:style>
  <w:style w:type="paragraph" w:styleId="ListContinue3">
    <w:name w:val="List Continue 3"/>
    <w:basedOn w:val="List3"/>
    <w:rsid w:val="004B46DD"/>
    <w:pPr>
      <w:ind w:left="1021" w:firstLine="0"/>
    </w:pPr>
  </w:style>
  <w:style w:type="paragraph" w:styleId="ListContinue4">
    <w:name w:val="List Continue 4"/>
    <w:basedOn w:val="List4"/>
    <w:rsid w:val="004B46DD"/>
    <w:pPr>
      <w:ind w:firstLine="0"/>
    </w:pPr>
  </w:style>
  <w:style w:type="paragraph" w:styleId="ListContinue5">
    <w:name w:val="List Continue 5"/>
    <w:basedOn w:val="List5"/>
    <w:rsid w:val="004B46DD"/>
    <w:pPr>
      <w:ind w:firstLine="0"/>
    </w:pPr>
  </w:style>
  <w:style w:type="paragraph" w:styleId="ListNumber3">
    <w:name w:val="List Number 3"/>
    <w:basedOn w:val="List3"/>
    <w:rsid w:val="004B46DD"/>
    <w:pPr>
      <w:numPr>
        <w:numId w:val="4"/>
      </w:numPr>
    </w:pPr>
  </w:style>
  <w:style w:type="paragraph" w:styleId="ListNumber4">
    <w:name w:val="List Number 4"/>
    <w:basedOn w:val="List4"/>
    <w:rsid w:val="004B46DD"/>
    <w:pPr>
      <w:numPr>
        <w:numId w:val="5"/>
      </w:numPr>
    </w:pPr>
  </w:style>
  <w:style w:type="paragraph" w:styleId="ListNumber5">
    <w:name w:val="List Number 5"/>
    <w:basedOn w:val="List5"/>
    <w:rsid w:val="004B46DD"/>
    <w:pPr>
      <w:numPr>
        <w:numId w:val="6"/>
      </w:numPr>
    </w:pPr>
  </w:style>
  <w:style w:type="paragraph" w:styleId="BlockText">
    <w:name w:val="Block Text"/>
    <w:basedOn w:val="Normal"/>
    <w:rsid w:val="004B46DD"/>
    <w:pPr>
      <w:spacing w:after="120"/>
      <w:ind w:left="1440" w:right="1440"/>
    </w:pPr>
  </w:style>
  <w:style w:type="character" w:customStyle="1" w:styleId="Subscript">
    <w:name w:val="Subscript"/>
    <w:basedOn w:val="DefaultParagraphFont"/>
    <w:rsid w:val="004B46DD"/>
    <w:rPr>
      <w:sz w:val="16"/>
      <w:vertAlign w:val="subscript"/>
    </w:rPr>
  </w:style>
  <w:style w:type="character" w:customStyle="1" w:styleId="Superscript">
    <w:name w:val="Superscript"/>
    <w:basedOn w:val="DefaultParagraphFont"/>
    <w:rsid w:val="004B46DD"/>
    <w:rPr>
      <w:sz w:val="16"/>
      <w:vertAlign w:val="superscript"/>
    </w:rPr>
  </w:style>
  <w:style w:type="character" w:customStyle="1" w:styleId="Symbols">
    <w:name w:val="Symbols"/>
    <w:basedOn w:val="DefaultParagraphFont"/>
    <w:rsid w:val="004B46DD"/>
    <w:rPr>
      <w:rFonts w:ascii="Symbol" w:hAnsi="Symbol"/>
    </w:rPr>
  </w:style>
  <w:style w:type="character" w:customStyle="1" w:styleId="MenuOptions">
    <w:name w:val="Menu Options"/>
    <w:basedOn w:val="DefaultParagraphFont"/>
    <w:rsid w:val="004B46DD"/>
    <w:rPr>
      <w:rFonts w:ascii="Arial Narrow" w:hAnsi="Arial Narrow"/>
      <w:smallCaps/>
    </w:rPr>
  </w:style>
  <w:style w:type="character" w:customStyle="1" w:styleId="Buttons">
    <w:name w:val="Buttons"/>
    <w:basedOn w:val="DefaultParagraphFont"/>
    <w:rsid w:val="004B46DD"/>
    <w:rPr>
      <w:b/>
    </w:rPr>
  </w:style>
  <w:style w:type="character" w:customStyle="1" w:styleId="Underlined">
    <w:name w:val="Underlined"/>
    <w:basedOn w:val="DefaultParagraphFont"/>
    <w:rsid w:val="004B46DD"/>
    <w:rPr>
      <w:u w:val="single"/>
    </w:rPr>
  </w:style>
  <w:style w:type="paragraph" w:customStyle="1" w:styleId="TableBodyTextRight">
    <w:name w:val="Table Body Text Right"/>
    <w:basedOn w:val="TableBodyText"/>
    <w:rsid w:val="004B46DD"/>
    <w:pPr>
      <w:widowControl w:val="0"/>
      <w:autoSpaceDE w:val="0"/>
      <w:autoSpaceDN w:val="0"/>
      <w:adjustRightInd w:val="0"/>
      <w:jc w:val="right"/>
    </w:pPr>
    <w:rPr>
      <w:rFonts w:cs="Arial"/>
      <w:szCs w:val="18"/>
    </w:rPr>
  </w:style>
  <w:style w:type="paragraph" w:customStyle="1" w:styleId="CopyrightText">
    <w:name w:val="Copyright Text"/>
    <w:basedOn w:val="BodyText"/>
    <w:rsid w:val="004B46DD"/>
    <w:rPr>
      <w:sz w:val="18"/>
    </w:rPr>
  </w:style>
  <w:style w:type="paragraph" w:customStyle="1" w:styleId="BodySmallRight">
    <w:name w:val="Body Small Right"/>
    <w:basedOn w:val="BodyTextRight"/>
    <w:rsid w:val="004B46DD"/>
    <w:rPr>
      <w:sz w:val="18"/>
      <w:szCs w:val="18"/>
    </w:rPr>
  </w:style>
  <w:style w:type="paragraph" w:customStyle="1" w:styleId="MarginEdition">
    <w:name w:val="Margin Edition"/>
    <w:basedOn w:val="MarginNote"/>
    <w:rsid w:val="004B46DD"/>
    <w:pPr>
      <w:spacing w:before="0" w:after="0"/>
    </w:pPr>
    <w:rPr>
      <w:rFonts w:ascii="Times New Roman" w:hAnsi="Times New Roman"/>
      <w:color w:val="999999"/>
    </w:rPr>
  </w:style>
  <w:style w:type="paragraph" w:customStyle="1" w:styleId="Spacer">
    <w:name w:val="Spacer"/>
    <w:basedOn w:val="Normal"/>
    <w:rsid w:val="004B46DD"/>
    <w:rPr>
      <w:sz w:val="2"/>
      <w:szCs w:val="2"/>
    </w:rPr>
  </w:style>
  <w:style w:type="character" w:customStyle="1" w:styleId="Small">
    <w:name w:val="Small"/>
    <w:basedOn w:val="DefaultParagraphFont"/>
    <w:rsid w:val="004B46DD"/>
    <w:rPr>
      <w:sz w:val="16"/>
    </w:rPr>
  </w:style>
  <w:style w:type="paragraph" w:customStyle="1" w:styleId="WideTable">
    <w:name w:val="Wide Table"/>
    <w:basedOn w:val="Normal"/>
    <w:rsid w:val="004B46DD"/>
    <w:pPr>
      <w:ind w:left="-1418"/>
    </w:pPr>
    <w:rPr>
      <w:sz w:val="2"/>
      <w:szCs w:val="2"/>
    </w:rPr>
  </w:style>
  <w:style w:type="character" w:styleId="PageNumber">
    <w:name w:val="page number"/>
    <w:basedOn w:val="DefaultParagraphFont"/>
    <w:rsid w:val="004B46DD"/>
  </w:style>
  <w:style w:type="paragraph" w:styleId="Quote">
    <w:name w:val="Quote"/>
    <w:basedOn w:val="Heading1"/>
    <w:link w:val="QuoteChar"/>
    <w:qFormat/>
    <w:rsid w:val="004B46DD"/>
    <w:rPr>
      <w:b w:val="0"/>
      <w:sz w:val="72"/>
      <w:szCs w:val="72"/>
      <w:lang w:val="en-NZ"/>
    </w:rPr>
  </w:style>
  <w:style w:type="character" w:customStyle="1" w:styleId="QuoteChar">
    <w:name w:val="Quote Char"/>
    <w:basedOn w:val="DefaultParagraphFont"/>
    <w:link w:val="Quote"/>
    <w:rsid w:val="004B46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46DD"/>
    <w:pPr>
      <w:pageBreakBefore/>
    </w:pPr>
  </w:style>
  <w:style w:type="paragraph" w:customStyle="1" w:styleId="Border">
    <w:name w:val="Border"/>
    <w:basedOn w:val="Normal"/>
    <w:qFormat/>
    <w:rsid w:val="004B46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46DD"/>
    <w:rPr>
      <w:b/>
      <w:bCs/>
      <w:i/>
      <w:iCs/>
      <w:color w:val="auto"/>
    </w:rPr>
  </w:style>
  <w:style w:type="paragraph" w:styleId="IntenseQuote">
    <w:name w:val="Intense Quote"/>
    <w:basedOn w:val="Normal"/>
    <w:next w:val="Normal"/>
    <w:link w:val="IntenseQuoteChar"/>
    <w:uiPriority w:val="30"/>
    <w:qFormat/>
    <w:rsid w:val="004B46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46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46DD"/>
    <w:rPr>
      <w:smallCaps/>
      <w:color w:val="auto"/>
      <w:u w:val="single"/>
    </w:rPr>
  </w:style>
  <w:style w:type="character" w:styleId="IntenseReference">
    <w:name w:val="Intense Reference"/>
    <w:basedOn w:val="DefaultParagraphFont"/>
    <w:uiPriority w:val="32"/>
    <w:qFormat/>
    <w:rsid w:val="004B46DD"/>
    <w:rPr>
      <w:b/>
      <w:bCs/>
      <w:smallCaps/>
      <w:color w:val="auto"/>
      <w:spacing w:val="5"/>
      <w:u w:val="single"/>
    </w:rPr>
  </w:style>
  <w:style w:type="paragraph" w:customStyle="1" w:styleId="2ColumnHeading">
    <w:name w:val="2Column Heading"/>
    <w:basedOn w:val="BodyText"/>
    <w:qFormat/>
    <w:rsid w:val="004B46DD"/>
    <w:pPr>
      <w:spacing w:after="60"/>
      <w:ind w:left="-2268"/>
    </w:pPr>
    <w:rPr>
      <w:b/>
    </w:rPr>
  </w:style>
  <w:style w:type="paragraph" w:customStyle="1" w:styleId="Heading1TOC">
    <w:name w:val="Heading1 TOC"/>
    <w:basedOn w:val="Normal"/>
    <w:qFormat/>
    <w:rsid w:val="004B46DD"/>
    <w:pPr>
      <w:spacing w:before="240" w:after="120"/>
    </w:pPr>
    <w:rPr>
      <w:rFonts w:ascii="Times New Roman" w:hAnsi="Times New Roman"/>
      <w:b/>
      <w:sz w:val="32"/>
    </w:rPr>
  </w:style>
  <w:style w:type="paragraph" w:customStyle="1" w:styleId="Heading2TOC">
    <w:name w:val="Heading2 TOC"/>
    <w:basedOn w:val="Normal"/>
    <w:qFormat/>
    <w:rsid w:val="004B46DD"/>
    <w:pPr>
      <w:spacing w:before="240" w:after="60"/>
    </w:pPr>
    <w:rPr>
      <w:rFonts w:ascii="Times New Roman" w:hAnsi="Times New Roman"/>
      <w:b/>
      <w:sz w:val="28"/>
    </w:rPr>
  </w:style>
  <w:style w:type="character" w:customStyle="1" w:styleId="Underline">
    <w:name w:val="Underline"/>
    <w:basedOn w:val="DefaultParagraphFont"/>
    <w:qFormat/>
    <w:rsid w:val="004B46DD"/>
    <w:rPr>
      <w:u w:val="single"/>
    </w:rPr>
  </w:style>
  <w:style w:type="character" w:customStyle="1" w:styleId="BoldandItalics">
    <w:name w:val="Bold and Italics"/>
    <w:qFormat/>
    <w:rsid w:val="004B46DD"/>
    <w:rPr>
      <w:b/>
      <w:i/>
      <w:u w:val="none"/>
    </w:rPr>
  </w:style>
  <w:style w:type="paragraph" w:styleId="BalloonText">
    <w:name w:val="Balloon Text"/>
    <w:basedOn w:val="Normal"/>
    <w:link w:val="BalloonTextChar"/>
    <w:rsid w:val="004B46DD"/>
    <w:rPr>
      <w:rFonts w:ascii="Tahoma" w:hAnsi="Tahoma" w:cs="Tahoma"/>
      <w:sz w:val="16"/>
      <w:szCs w:val="16"/>
    </w:rPr>
  </w:style>
  <w:style w:type="character" w:customStyle="1" w:styleId="BalloonTextChar">
    <w:name w:val="Balloon Text Char"/>
    <w:basedOn w:val="DefaultParagraphFont"/>
    <w:link w:val="BalloonText"/>
    <w:rsid w:val="004B46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46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46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46DD"/>
    <w:rPr>
      <w:b/>
      <w:color w:val="660033"/>
      <w:spacing w:val="0"/>
    </w:rPr>
  </w:style>
  <w:style w:type="paragraph" w:customStyle="1" w:styleId="Nameditemlist">
    <w:name w:val="Named item list"/>
    <w:basedOn w:val="BodyText"/>
    <w:qFormat/>
    <w:rsid w:val="004B46DD"/>
    <w:pPr>
      <w:tabs>
        <w:tab w:val="left" w:pos="2835"/>
      </w:tabs>
      <w:ind w:left="2835" w:hanging="2835"/>
    </w:pPr>
  </w:style>
  <w:style w:type="paragraph" w:customStyle="1" w:styleId="BodyTextnopadding">
    <w:name w:val="Body Text no padding"/>
    <w:basedOn w:val="BodyText"/>
    <w:qFormat/>
    <w:rsid w:val="004B46DD"/>
    <w:pPr>
      <w:spacing w:before="0" w:after="0"/>
    </w:pPr>
  </w:style>
  <w:style w:type="paragraph" w:customStyle="1" w:styleId="BodyTextBold">
    <w:name w:val="Body Text Bold"/>
    <w:basedOn w:val="BodyText"/>
    <w:qFormat/>
    <w:rsid w:val="004B46DD"/>
    <w:rPr>
      <w:b/>
    </w:rPr>
  </w:style>
  <w:style w:type="character" w:styleId="Hyperlink">
    <w:name w:val="Hyperlink"/>
    <w:basedOn w:val="DefaultParagraphFont"/>
    <w:uiPriority w:val="99"/>
    <w:unhideWhenUsed/>
    <w:rsid w:val="00D975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715</Words>
  <Characters>4433</Characters>
  <Application>Microsoft Office Word</Application>
  <DocSecurity>0</DocSecurity>
  <Lines>138</Lines>
  <Paragraphs>80</Paragraphs>
  <ScaleCrop>false</ScaleCrop>
  <Company>Author-it Software Corporation Ltd.</Company>
  <LinksUpToDate>false</LinksUpToDate>
  <CharactersWithSpaces>5068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SITHFAB039 Manage the sale or service of wine</dc:title>
  <dc:subject>Approved</dc:subject>
  <dc:creator>SkillsIQ</dc:creator>
  <cp:keywords>Release: 1</cp:keywords>
  <dc:description>Review Date: 12 April 2008</dc:description>
  <cp:lastModifiedBy>HSD_TPCMSd.prod</cp:lastModifiedBy>
  <cp:revision>3</cp:revision>
  <dcterms:created xsi:type="dcterms:W3CDTF">2023-03-02T05:19:00Z</dcterms:created>
  <dcterms:modified xsi:type="dcterms:W3CDTF">2023-03-02T05:19:00Z</dcterms:modified>
</cp:coreProperties>
</file>