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33B" w:rsidP="001E6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SITHFAB035 Provide silver service</w:t>
      </w:r>
      <w:r>
        <w:fldChar w:fldCharType="end"/>
      </w:r>
    </w:p>
    <w:p w:rsidR="001E633B" w:rsidP="001E633B">
      <w:pPr>
        <w:pStyle w:val="Version"/>
        <w:sectPr w:rsidSect="008A0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709" w:rsidP="008A0709">
      <w:pPr>
        <w:pStyle w:val="SuperHeading"/>
      </w:pPr>
      <w:r w:rsidRPr="008A0709">
        <w:t>Assessment Requirements for SITHFAB035 Provide silver service</w:t>
      </w:r>
    </w:p>
    <w:p w:rsidR="00000000" w:rsidRPr="008A0709" w:rsidP="008A0709">
      <w:pPr>
        <w:pStyle w:val="Heading1"/>
      </w:pPr>
      <w:bookmarkStart w:id="1" w:name="O_1229519"/>
      <w:bookmarkEnd w:id="1"/>
      <w:r w:rsidRPr="008A0709">
        <w:t>Modification History</w:t>
      </w:r>
    </w:p>
    <w:p w:rsidR="00000000" w:rsidRPr="008A0709" w:rsidP="001E633B">
      <w:pPr>
        <w:pStyle w:val="BodyText"/>
      </w:pPr>
      <w:r w:rsidRPr="008A0709">
        <w:t>Not applicable.</w:t>
      </w:r>
    </w:p>
    <w:p w:rsidR="00000000" w:rsidRPr="008A0709" w:rsidP="008A0709">
      <w:pPr>
        <w:pStyle w:val="Heading1"/>
      </w:pPr>
      <w:bookmarkStart w:id="2" w:name="O_1229522"/>
      <w:bookmarkEnd w:id="2"/>
      <w:r w:rsidRPr="008A0709">
        <w:t>Performance Evidence</w:t>
      </w:r>
    </w:p>
    <w:p w:rsidR="00000000" w:rsidRPr="008A0709" w:rsidP="001E633B">
      <w:pPr>
        <w:pStyle w:val="BodyText"/>
      </w:pPr>
      <w:r w:rsidRPr="008A0709">
        <w:t>Evidence of the ability to complete tasks outlined in elements and performance criteria of this unit in the context of the job role, and:</w:t>
      </w:r>
    </w:p>
    <w:p w:rsidR="00000000" w:rsidRPr="008A0709" w:rsidP="008A0709">
      <w:pPr>
        <w:pStyle w:val="ListBullet"/>
      </w:pPr>
      <w:r w:rsidRPr="008A0709">
        <w:t>prepare for and use silver service techniques for service of entrées, main courses, desserts and cheeses over three service periods</w:t>
      </w:r>
    </w:p>
    <w:p w:rsidR="00000000" w:rsidRPr="008A0709" w:rsidP="008A0709">
      <w:pPr>
        <w:pStyle w:val="ListBullet"/>
      </w:pPr>
      <w:r w:rsidRPr="008A0709">
        <w:t>serve meals from each of the following major food types using silver service techniques during the above service periods:</w:t>
      </w:r>
    </w:p>
    <w:p w:rsidR="00000000" w:rsidRPr="008A0709" w:rsidP="008A0709">
      <w:pPr>
        <w:pStyle w:val="ListBullet2"/>
      </w:pPr>
      <w:r w:rsidRPr="008A0709">
        <w:t>c</w:t>
      </w:r>
      <w:r w:rsidRPr="008A0709">
        <w:t>heese or dairy products</w:t>
      </w:r>
    </w:p>
    <w:p w:rsidR="00000000" w:rsidRPr="008A0709" w:rsidP="008A0709">
      <w:pPr>
        <w:pStyle w:val="ListBullet2"/>
      </w:pPr>
      <w:r w:rsidRPr="008A0709">
        <w:t>condiments and accompaniments</w:t>
      </w:r>
    </w:p>
    <w:p w:rsidR="00000000" w:rsidRPr="008A0709" w:rsidP="008A0709">
      <w:pPr>
        <w:pStyle w:val="ListBullet2"/>
      </w:pPr>
      <w:r w:rsidRPr="008A0709">
        <w:t>dessert</w:t>
      </w:r>
    </w:p>
    <w:p w:rsidR="00000000" w:rsidRPr="008A0709" w:rsidP="008A0709">
      <w:pPr>
        <w:pStyle w:val="ListBullet2"/>
      </w:pPr>
      <w:r w:rsidRPr="008A0709">
        <w:t>seafood</w:t>
      </w:r>
    </w:p>
    <w:p w:rsidR="00000000" w:rsidRPr="008A0709" w:rsidP="008A0709">
      <w:pPr>
        <w:pStyle w:val="ListBullet2"/>
      </w:pPr>
      <w:r w:rsidRPr="008A0709">
        <w:t>fruits</w:t>
      </w:r>
    </w:p>
    <w:p w:rsidR="00000000" w:rsidRPr="008A0709" w:rsidP="008A0709">
      <w:pPr>
        <w:pStyle w:val="ListBullet2"/>
      </w:pPr>
      <w:r w:rsidRPr="008A0709">
        <w:t>garnishes</w:t>
      </w:r>
    </w:p>
    <w:p w:rsidR="00000000" w:rsidRPr="008A0709" w:rsidP="008A0709">
      <w:pPr>
        <w:pStyle w:val="ListBullet2"/>
      </w:pPr>
      <w:r w:rsidRPr="008A0709">
        <w:t>hors d’oeuvres or appetisers</w:t>
      </w:r>
    </w:p>
    <w:p w:rsidR="00000000" w:rsidRPr="008A0709" w:rsidP="008A0709">
      <w:pPr>
        <w:pStyle w:val="ListBullet2"/>
      </w:pPr>
      <w:r w:rsidRPr="008A0709">
        <w:t>meat or poultry</w:t>
      </w:r>
    </w:p>
    <w:p w:rsidR="00000000" w:rsidRPr="008A0709" w:rsidP="008A0709">
      <w:pPr>
        <w:pStyle w:val="ListBullet2"/>
      </w:pPr>
      <w:r w:rsidRPr="008A0709">
        <w:t>salads</w:t>
      </w:r>
    </w:p>
    <w:p w:rsidR="00000000" w:rsidRPr="008A0709" w:rsidP="008A0709">
      <w:pPr>
        <w:pStyle w:val="ListBullet2"/>
      </w:pPr>
      <w:r w:rsidRPr="008A0709">
        <w:t>sauces</w:t>
      </w:r>
    </w:p>
    <w:p w:rsidR="00000000" w:rsidRPr="008A0709" w:rsidP="008A0709">
      <w:pPr>
        <w:pStyle w:val="ListBullet2"/>
      </w:pPr>
      <w:r w:rsidRPr="008A0709">
        <w:t>vegetables</w:t>
      </w:r>
    </w:p>
    <w:p w:rsidR="00000000" w:rsidRPr="008A0709" w:rsidP="008A0709">
      <w:pPr>
        <w:pStyle w:val="ListBullet"/>
      </w:pPr>
      <w:r w:rsidRPr="008A0709">
        <w:t xml:space="preserve">select and use the correct sliver service utensils, equipment, table service-ware, crockery, </w:t>
      </w:r>
      <w:r w:rsidRPr="008A0709">
        <w:t>cutlery and glassware for the dishes and beverages served during the above service periods</w:t>
      </w:r>
    </w:p>
    <w:p w:rsidR="00000000" w:rsidRPr="008A0709" w:rsidP="008A0709">
      <w:pPr>
        <w:pStyle w:val="ListBullet"/>
      </w:pPr>
      <w:r w:rsidRPr="008A0709">
        <w:t>work to commercially-realistic timeframes and demonstrate ability to deal with multiple silver service tasks simultaneously during the above service periods.</w:t>
      </w:r>
    </w:p>
    <w:p w:rsidR="00000000" w:rsidRPr="008A0709" w:rsidP="008A0709">
      <w:pPr>
        <w:pStyle w:val="AllowPageBreak"/>
      </w:pPr>
    </w:p>
    <w:p w:rsidR="00000000" w:rsidRPr="008A0709" w:rsidP="008A0709">
      <w:pPr>
        <w:pStyle w:val="Heading1"/>
      </w:pPr>
      <w:bookmarkStart w:id="3" w:name="O_1229521"/>
      <w:bookmarkEnd w:id="3"/>
      <w:r w:rsidRPr="008A0709">
        <w:t>Knowledge Evidence</w:t>
      </w:r>
    </w:p>
    <w:p w:rsidR="00000000" w:rsidRPr="008A0709" w:rsidP="001E633B">
      <w:pPr>
        <w:pStyle w:val="BodyText"/>
      </w:pPr>
      <w:r w:rsidRPr="008A0709">
        <w:t>Demonstrated knowledge required to complete the tasks outlined in elements and performance criteria of this unit:</w:t>
      </w:r>
    </w:p>
    <w:p w:rsidR="00000000" w:rsidRPr="008A0709" w:rsidP="008A0709">
      <w:pPr>
        <w:pStyle w:val="ListBullet"/>
      </w:pPr>
      <w:r w:rsidRPr="008A0709">
        <w:t>processes involved in preparing tables for silver service:</w:t>
      </w:r>
    </w:p>
    <w:p w:rsidR="00000000" w:rsidRPr="008A0709" w:rsidP="008A0709">
      <w:pPr>
        <w:pStyle w:val="ListBullet2"/>
      </w:pPr>
      <w:r w:rsidRPr="008A0709">
        <w:t>folding napkins</w:t>
      </w:r>
    </w:p>
    <w:p w:rsidR="00000000" w:rsidRPr="008A0709" w:rsidP="008A0709">
      <w:pPr>
        <w:pStyle w:val="ListBullet2"/>
      </w:pPr>
      <w:r w:rsidRPr="008A0709">
        <w:t>placing chairs in correct position</w:t>
      </w:r>
    </w:p>
    <w:p w:rsidR="00000000" w:rsidRPr="008A0709" w:rsidP="008A0709">
      <w:pPr>
        <w:pStyle w:val="ListBullet2"/>
      </w:pPr>
      <w:r w:rsidRPr="008A0709">
        <w:t>polishing cutlery, glassware and crockery</w:t>
      </w:r>
    </w:p>
    <w:p w:rsidR="00000000" w:rsidRPr="008A0709" w:rsidP="008A0709">
      <w:pPr>
        <w:pStyle w:val="ListBullet2"/>
      </w:pPr>
      <w:r w:rsidRPr="008A0709">
        <w:t>selecting and setting up linen, glassware, cutlery and crockery according to menu requirements</w:t>
      </w:r>
    </w:p>
    <w:p w:rsidR="00000000" w:rsidRPr="008A0709" w:rsidP="008A0709">
      <w:pPr>
        <w:pStyle w:val="ListBullet"/>
      </w:pPr>
      <w:r w:rsidRPr="008A0709">
        <w:t>organisational and traditional industry standards for silver service table setting of glassware, crockery and cutlery</w:t>
      </w:r>
    </w:p>
    <w:p w:rsidR="00000000" w:rsidRPr="008A0709" w:rsidP="008A0709">
      <w:pPr>
        <w:pStyle w:val="ListBullet"/>
      </w:pPr>
      <w:r w:rsidRPr="008A0709">
        <w:t>silver service techniques for the major food types specified in the performance evidence</w:t>
      </w:r>
    </w:p>
    <w:p w:rsidR="00000000" w:rsidRPr="008A0709" w:rsidP="008A0709">
      <w:pPr>
        <w:pStyle w:val="ListBullet"/>
      </w:pPr>
      <w:r w:rsidRPr="008A0709">
        <w:t>features and uses of the following items for each of the main food types specified in the performance evidence:</w:t>
      </w:r>
    </w:p>
    <w:p w:rsidR="00000000" w:rsidRPr="008A0709" w:rsidP="008A0709">
      <w:pPr>
        <w:pStyle w:val="ListBullet2"/>
      </w:pPr>
      <w:r w:rsidRPr="008A0709">
        <w:t>silver service utensils and equipment</w:t>
      </w:r>
    </w:p>
    <w:p w:rsidR="00000000" w:rsidRPr="008A0709" w:rsidP="008A0709">
      <w:pPr>
        <w:pStyle w:val="ListBullet2"/>
      </w:pPr>
      <w:r w:rsidRPr="008A0709">
        <w:t>different crock</w:t>
      </w:r>
      <w:r w:rsidRPr="008A0709">
        <w:t>ery and cutlery</w:t>
      </w:r>
    </w:p>
    <w:p w:rsidR="00000000" w:rsidRPr="008A0709" w:rsidP="008A0709">
      <w:pPr>
        <w:pStyle w:val="ListBullet2"/>
      </w:pPr>
      <w:r w:rsidRPr="008A0709">
        <w:t>service-ware for garnishes and accompaniments</w:t>
      </w:r>
    </w:p>
    <w:p w:rsidR="00000000" w:rsidRPr="008A0709" w:rsidP="008A0709">
      <w:pPr>
        <w:pStyle w:val="ListBullet"/>
      </w:pPr>
      <w:r w:rsidRPr="008A0709">
        <w:t>features and uses of different types of glassware for different beverages</w:t>
      </w:r>
    </w:p>
    <w:p w:rsidR="00000000" w:rsidRPr="008A0709" w:rsidP="008A0709">
      <w:pPr>
        <w:pStyle w:val="ListBullet"/>
      </w:pPr>
      <w:r w:rsidRPr="008A0709">
        <w:t>mise en place requirements for silver service menu options.</w:t>
      </w:r>
    </w:p>
    <w:p w:rsidR="00000000" w:rsidRPr="008A0709" w:rsidP="008A0709">
      <w:pPr>
        <w:pStyle w:val="AllowPageBreak"/>
      </w:pPr>
    </w:p>
    <w:p w:rsidR="00000000" w:rsidRPr="008A0709" w:rsidP="008A0709">
      <w:pPr>
        <w:pStyle w:val="Heading1"/>
      </w:pPr>
      <w:bookmarkStart w:id="4" w:name="O_1229520"/>
      <w:bookmarkEnd w:id="4"/>
      <w:r w:rsidRPr="008A0709">
        <w:t>Assessment Conditions</w:t>
      </w:r>
    </w:p>
    <w:p w:rsidR="00000000" w:rsidRPr="008A0709" w:rsidP="001E633B">
      <w:pPr>
        <w:pStyle w:val="BodyText"/>
      </w:pPr>
      <w:r w:rsidRPr="008A0709">
        <w:t>Skills must be dem</w:t>
      </w:r>
      <w:r w:rsidRPr="008A0709">
        <w:t>onstrated in an operational food and beverage outlet. This can be:</w:t>
      </w:r>
    </w:p>
    <w:p w:rsidR="00000000" w:rsidRPr="008A0709" w:rsidP="008A0709">
      <w:pPr>
        <w:pStyle w:val="ListBullet"/>
      </w:pPr>
      <w:r w:rsidRPr="008A0709">
        <w:t>an industry workplace; or</w:t>
      </w:r>
    </w:p>
    <w:p w:rsidR="00000000" w:rsidRPr="008A0709" w:rsidP="008A0709">
      <w:pPr>
        <w:pStyle w:val="ListBullet"/>
      </w:pPr>
      <w:r w:rsidRPr="008A0709">
        <w:t>a simulated industry environment set up for the purposes of assessment.</w:t>
      </w:r>
    </w:p>
    <w:p w:rsidR="00000000" w:rsidRPr="008A0709" w:rsidP="001E633B">
      <w:pPr>
        <w:pStyle w:val="BodyText"/>
      </w:pPr>
      <w:r w:rsidRPr="008A0709">
        <w:t>Assessment must ensure access to:</w:t>
      </w:r>
    </w:p>
    <w:p w:rsidR="00000000" w:rsidRPr="008A0709" w:rsidP="008A0709">
      <w:pPr>
        <w:pStyle w:val="ListBullet"/>
      </w:pPr>
      <w:r w:rsidRPr="008A0709">
        <w:t>fixtures and large and small equipment:</w:t>
      </w:r>
    </w:p>
    <w:p w:rsidR="00000000" w:rsidRPr="008A0709" w:rsidP="008A0709">
      <w:pPr>
        <w:pStyle w:val="ListBullet2"/>
      </w:pPr>
      <w:r w:rsidRPr="008A0709">
        <w:t>food service-ware</w:t>
      </w:r>
    </w:p>
    <w:p w:rsidR="00000000" w:rsidRPr="008A0709" w:rsidP="008A0709">
      <w:pPr>
        <w:pStyle w:val="ListBullet2"/>
      </w:pPr>
      <w:r w:rsidRPr="008A0709">
        <w:t>glassware for alcoholic and non-alcoholic beverages</w:t>
      </w:r>
    </w:p>
    <w:p w:rsidR="00000000" w:rsidRPr="008A0709" w:rsidP="008A0709">
      <w:pPr>
        <w:pStyle w:val="ListBullet2"/>
      </w:pPr>
      <w:r w:rsidRPr="008A0709">
        <w:t>food service-ware and glassware storage areas</w:t>
      </w:r>
    </w:p>
    <w:p w:rsidR="00000000" w:rsidRPr="008A0709" w:rsidP="008A0709">
      <w:pPr>
        <w:pStyle w:val="ListBullet2"/>
      </w:pPr>
      <w:r w:rsidRPr="008A0709">
        <w:t>minimum of 15 chairs</w:t>
      </w:r>
    </w:p>
    <w:p w:rsidR="00000000" w:rsidRPr="008A0709" w:rsidP="008A0709">
      <w:pPr>
        <w:pStyle w:val="ListBullet2"/>
      </w:pPr>
      <w:r w:rsidRPr="008A0709">
        <w:t xml:space="preserve">minimum of five tables </w:t>
      </w:r>
    </w:p>
    <w:p w:rsidR="00000000" w:rsidRPr="008A0709" w:rsidP="008A0709">
      <w:pPr>
        <w:pStyle w:val="ListBullet2"/>
      </w:pPr>
      <w:r w:rsidRPr="008A0709">
        <w:t>table dressing linen and equipment</w:t>
      </w:r>
    </w:p>
    <w:p w:rsidR="00000000" w:rsidRPr="008A0709" w:rsidP="008A0709">
      <w:pPr>
        <w:pStyle w:val="ListBullet2"/>
      </w:pPr>
      <w:r w:rsidRPr="008A0709">
        <w:t>service linen and equipment</w:t>
      </w:r>
    </w:p>
    <w:p w:rsidR="00000000" w:rsidRPr="008A0709" w:rsidP="008A0709">
      <w:pPr>
        <w:pStyle w:val="ListBullet2"/>
      </w:pPr>
      <w:r w:rsidRPr="008A0709">
        <w:t>carafes for decanting wine</w:t>
      </w:r>
    </w:p>
    <w:p w:rsidR="00000000" w:rsidRPr="008A0709" w:rsidP="008A0709">
      <w:pPr>
        <w:pStyle w:val="ListBullet2"/>
      </w:pPr>
      <w:r w:rsidRPr="008A0709">
        <w:t>crock</w:t>
      </w:r>
      <w:r w:rsidRPr="008A0709">
        <w:t>ery and cutlery appropriate for designated menu items to be served</w:t>
      </w:r>
    </w:p>
    <w:p w:rsidR="00000000" w:rsidRPr="008A0709" w:rsidP="008A0709">
      <w:pPr>
        <w:pStyle w:val="ListBullet2"/>
      </w:pPr>
      <w:r w:rsidRPr="008A0709">
        <w:t>heated plates and hot serving utensils</w:t>
      </w:r>
    </w:p>
    <w:p w:rsidR="00000000" w:rsidRPr="008A0709" w:rsidP="008A0709">
      <w:pPr>
        <w:pStyle w:val="ListBullet2"/>
      </w:pPr>
      <w:r w:rsidRPr="008A0709">
        <w:t>table crumber</w:t>
      </w:r>
    </w:p>
    <w:p w:rsidR="00000000" w:rsidRPr="008A0709" w:rsidP="008A0709">
      <w:pPr>
        <w:pStyle w:val="ListBullet2"/>
      </w:pPr>
      <w:r w:rsidRPr="008A0709">
        <w:t>waiter’s friend</w:t>
      </w:r>
    </w:p>
    <w:p w:rsidR="00000000" w:rsidRPr="008A0709" w:rsidP="008A0709">
      <w:pPr>
        <w:pStyle w:val="ListBullet2"/>
      </w:pPr>
      <w:r w:rsidRPr="008A0709">
        <w:t>white cotton gloves</w:t>
      </w:r>
    </w:p>
    <w:p w:rsidR="00000000" w:rsidRPr="008A0709" w:rsidP="008A0709">
      <w:pPr>
        <w:pStyle w:val="ListBullet"/>
      </w:pPr>
      <w:r w:rsidRPr="008A0709">
        <w:t>stock:</w:t>
      </w:r>
    </w:p>
    <w:p w:rsidR="00000000" w:rsidRPr="008A0709" w:rsidP="008A0709">
      <w:pPr>
        <w:pStyle w:val="ListBullet2"/>
      </w:pPr>
      <w:r w:rsidRPr="008A0709">
        <w:t xml:space="preserve">freshly prepared meals: </w:t>
      </w:r>
    </w:p>
    <w:p w:rsidR="00000000" w:rsidRPr="008A0709" w:rsidP="008A0709">
      <w:pPr>
        <w:pStyle w:val="ListBullet3"/>
      </w:pPr>
      <w:r w:rsidRPr="008A0709">
        <w:t>entrees</w:t>
      </w:r>
    </w:p>
    <w:p w:rsidR="00000000" w:rsidRPr="008A0709" w:rsidP="008A0709">
      <w:pPr>
        <w:pStyle w:val="ListBullet3"/>
      </w:pPr>
      <w:r w:rsidRPr="008A0709">
        <w:t>main courses</w:t>
      </w:r>
    </w:p>
    <w:p w:rsidR="00000000" w:rsidRPr="008A0709" w:rsidP="008A0709">
      <w:pPr>
        <w:pStyle w:val="ListBullet3"/>
      </w:pPr>
      <w:r w:rsidRPr="008A0709">
        <w:t>desserts</w:t>
      </w:r>
    </w:p>
    <w:p w:rsidR="00000000" w:rsidRPr="008A0709" w:rsidP="008A0709">
      <w:pPr>
        <w:pStyle w:val="ListBullet3"/>
      </w:pPr>
      <w:r w:rsidRPr="008A0709">
        <w:t>cheeses</w:t>
      </w:r>
    </w:p>
    <w:p w:rsidR="00000000" w:rsidRPr="008A0709" w:rsidP="008A0709">
      <w:pPr>
        <w:pStyle w:val="ListBullet2"/>
      </w:pPr>
      <w:r w:rsidRPr="008A0709">
        <w:t>condiments and accompaniments</w:t>
      </w:r>
    </w:p>
    <w:p w:rsidR="00000000" w:rsidRPr="008A0709" w:rsidP="008A0709">
      <w:pPr>
        <w:pStyle w:val="ListBullet2"/>
      </w:pPr>
      <w:r w:rsidRPr="008A0709">
        <w:t>wide commercial range of alcoholic and non-alcoholic beverages</w:t>
      </w:r>
    </w:p>
    <w:p w:rsidR="00000000" w:rsidRPr="008A0709" w:rsidP="008A0709">
      <w:pPr>
        <w:pStyle w:val="ListBullet"/>
      </w:pPr>
      <w:r w:rsidRPr="008A0709">
        <w:t>cleaning materials and equipment</w:t>
      </w:r>
    </w:p>
    <w:p w:rsidR="00000000" w:rsidRPr="008A0709" w:rsidP="008A0709">
      <w:pPr>
        <w:pStyle w:val="ListBullet"/>
      </w:pPr>
      <w:r w:rsidRPr="008A0709">
        <w:t>organisational specifications:</w:t>
      </w:r>
    </w:p>
    <w:p w:rsidR="00000000" w:rsidRPr="008A0709" w:rsidP="008A0709">
      <w:pPr>
        <w:pStyle w:val="ListBullet2"/>
      </w:pPr>
      <w:r w:rsidRPr="008A0709">
        <w:t>equipment manufacturer instructions</w:t>
      </w:r>
    </w:p>
    <w:p w:rsidR="00000000" w:rsidRPr="008A0709" w:rsidP="008A0709">
      <w:pPr>
        <w:pStyle w:val="ListBullet2"/>
      </w:pPr>
      <w:r w:rsidRPr="008A0709">
        <w:t>commercial food and beverage menus currently used by the hosp</w:t>
      </w:r>
      <w:r w:rsidRPr="008A0709">
        <w:t>itality industry</w:t>
      </w:r>
    </w:p>
    <w:p w:rsidR="00000000" w:rsidRPr="008A0709" w:rsidP="008A0709">
      <w:pPr>
        <w:pStyle w:val="ListBullet2"/>
      </w:pPr>
      <w:r w:rsidRPr="008A0709">
        <w:t>wine lists</w:t>
      </w:r>
    </w:p>
    <w:p w:rsidR="00000000" w:rsidRPr="008A0709" w:rsidP="008A0709">
      <w:pPr>
        <w:pStyle w:val="ListBullet"/>
      </w:pPr>
      <w:r w:rsidRPr="008A0709">
        <w:t>kitchen staff with whom the individual can interact and an industry-realistic ratio of service staff to customers. These can be:</w:t>
      </w:r>
    </w:p>
    <w:p w:rsidR="00000000" w:rsidRPr="008A0709" w:rsidP="008A0709">
      <w:pPr>
        <w:pStyle w:val="ListBullet2"/>
      </w:pPr>
      <w:r w:rsidRPr="008A0709">
        <w:t>kitchen staff and customers in an industry workplace during the assessment process; or</w:t>
      </w:r>
    </w:p>
    <w:p w:rsidR="00000000" w:rsidRPr="008A0709" w:rsidP="008A0709">
      <w:pPr>
        <w:pStyle w:val="ListBullet2"/>
      </w:pPr>
      <w:r w:rsidRPr="008A0709">
        <w:t>individuals who participate in role plays or simulated activities, set up for the purpose of assessment, in a simulated industry environment operated within a training organisation.</w:t>
      </w:r>
    </w:p>
    <w:p w:rsidR="00000000" w:rsidRPr="008A0709" w:rsidP="001E633B">
      <w:pPr>
        <w:pStyle w:val="BodyText"/>
      </w:pPr>
      <w:r w:rsidRPr="008A0709">
        <w:t>Assessors must satisfy the Standards for Registered Training Organisations</w:t>
      </w:r>
      <w:r w:rsidRPr="008A0709">
        <w:t>’ requirements for assessors and have worked in industry for at least three years where they have applied the skills and knowledge of this unit of competency.</w:t>
      </w:r>
    </w:p>
    <w:p w:rsidR="00000000" w:rsidRPr="008A0709" w:rsidP="008A0709">
      <w:pPr>
        <w:pStyle w:val="Heading1"/>
      </w:pPr>
      <w:bookmarkStart w:id="5" w:name="O_1229518"/>
      <w:bookmarkEnd w:id="5"/>
      <w:r w:rsidRPr="008A0709">
        <w:t>Links</w:t>
      </w:r>
    </w:p>
    <w:p w:rsidR="00000000" w:rsidRPr="008A0709" w:rsidP="001E633B">
      <w:pPr>
        <w:pStyle w:val="BodyText"/>
      </w:pPr>
      <w:r w:rsidRPr="008A07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A35C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A0709" w:rsidP="008A0709"/>
    <w:sectPr w:rsidSect="008A07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09" w:rsidRPr="001E633B" w:rsidP="001E6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33B" w:rsidP="008A0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33B" w:rsidP="008A0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633B" w:rsidP="008A0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3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709" w:rsidRPr="001E633B" w:rsidP="001E63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33B" w:rsidRPr="002D2AF8" w:rsidP="008A0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SITHFAB035 Provide silver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E633B" w:rsidP="008A0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6E6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49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62F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709"/>
  </w:style>
  <w:style w:type="character" w:customStyle="1" w:styleId="Heading1Char">
    <w:name w:val="Heading 1 Char"/>
    <w:basedOn w:val="DefaultParagraphFont"/>
    <w:link w:val="Heading1"/>
    <w:rsid w:val="008A0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70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07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07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0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0709"/>
    <w:rPr>
      <w:b/>
      <w:spacing w:val="0"/>
    </w:rPr>
  </w:style>
  <w:style w:type="paragraph" w:customStyle="1" w:styleId="SuperTitle">
    <w:name w:val="SuperTitle"/>
    <w:basedOn w:val="Title"/>
    <w:rsid w:val="008A0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709"/>
    <w:rPr>
      <w:i/>
    </w:rPr>
  </w:style>
  <w:style w:type="paragraph" w:styleId="Caption">
    <w:name w:val="caption"/>
    <w:basedOn w:val="BodyText"/>
    <w:next w:val="Normal"/>
    <w:qFormat/>
    <w:rsid w:val="008A0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709"/>
  </w:style>
  <w:style w:type="paragraph" w:styleId="TableofFigures">
    <w:name w:val="table of figures"/>
    <w:basedOn w:val="Normal"/>
    <w:next w:val="Normal"/>
    <w:semiHidden/>
    <w:rsid w:val="008A0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7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0709"/>
    <w:rPr>
      <w:rFonts w:ascii="Wingdings" w:hAnsi="Wingdings"/>
    </w:rPr>
  </w:style>
  <w:style w:type="paragraph" w:customStyle="1" w:styleId="TableHeading">
    <w:name w:val="Table Heading"/>
    <w:basedOn w:val="HeadingBase"/>
    <w:rsid w:val="008A0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709"/>
    <w:rPr>
      <w:color w:val="0033CC"/>
      <w:u w:val="none"/>
    </w:rPr>
  </w:style>
  <w:style w:type="paragraph" w:customStyle="1" w:styleId="BodyTextRight">
    <w:name w:val="Body Text Right"/>
    <w:basedOn w:val="BodyText"/>
    <w:rsid w:val="008A0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7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709"/>
    <w:rPr>
      <w:sz w:val="32"/>
    </w:rPr>
  </w:style>
  <w:style w:type="paragraph" w:customStyle="1" w:styleId="HeadingProcedure">
    <w:name w:val="Heading Procedure"/>
    <w:basedOn w:val="HeadingBase"/>
    <w:next w:val="Normal"/>
    <w:rsid w:val="008A0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709"/>
    <w:pPr>
      <w:spacing w:before="60" w:after="60"/>
    </w:pPr>
  </w:style>
  <w:style w:type="paragraph" w:styleId="ListContinue">
    <w:name w:val="List Continue"/>
    <w:basedOn w:val="List"/>
    <w:rsid w:val="008A0709"/>
    <w:pPr>
      <w:ind w:firstLine="0"/>
    </w:pPr>
  </w:style>
  <w:style w:type="paragraph" w:customStyle="1" w:styleId="ListNote">
    <w:name w:val="List Note"/>
    <w:basedOn w:val="List"/>
    <w:rsid w:val="008A0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709"/>
    <w:rPr>
      <w:rFonts w:ascii="Courier New" w:hAnsi="Courier New"/>
    </w:rPr>
  </w:style>
  <w:style w:type="paragraph" w:customStyle="1" w:styleId="NoteBullet">
    <w:name w:val="Note Bullet"/>
    <w:basedOn w:val="Note"/>
    <w:rsid w:val="008A0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7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0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709"/>
    <w:rPr>
      <w:b/>
      <w:smallCaps/>
    </w:rPr>
  </w:style>
  <w:style w:type="paragraph" w:customStyle="1" w:styleId="TableListNumber">
    <w:name w:val="Table List Number"/>
    <w:basedOn w:val="ListNumber"/>
    <w:rsid w:val="008A0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709"/>
    <w:pPr>
      <w:numPr>
        <w:numId w:val="10"/>
      </w:numPr>
    </w:pPr>
  </w:style>
  <w:style w:type="paragraph" w:customStyle="1" w:styleId="ListAlpha2">
    <w:name w:val="List Alpha 2"/>
    <w:basedOn w:val="List2"/>
    <w:rsid w:val="008A0709"/>
    <w:pPr>
      <w:numPr>
        <w:numId w:val="9"/>
      </w:numPr>
    </w:pPr>
  </w:style>
  <w:style w:type="paragraph" w:styleId="List2">
    <w:name w:val="List 2"/>
    <w:basedOn w:val="BodyText"/>
    <w:rsid w:val="008A0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7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07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0709"/>
    <w:pPr>
      <w:numPr>
        <w:numId w:val="5"/>
      </w:numPr>
    </w:pPr>
  </w:style>
  <w:style w:type="paragraph" w:styleId="ListContinue2">
    <w:name w:val="List Continue 2"/>
    <w:basedOn w:val="List2"/>
    <w:rsid w:val="008A0709"/>
    <w:pPr>
      <w:ind w:firstLine="0"/>
    </w:pPr>
  </w:style>
  <w:style w:type="paragraph" w:styleId="ListContinue3">
    <w:name w:val="List Continue 3"/>
    <w:basedOn w:val="List3"/>
    <w:rsid w:val="008A0709"/>
    <w:pPr>
      <w:ind w:left="1021" w:firstLine="0"/>
    </w:pPr>
  </w:style>
  <w:style w:type="paragraph" w:styleId="ListContinue4">
    <w:name w:val="List Continue 4"/>
    <w:basedOn w:val="List4"/>
    <w:rsid w:val="008A0709"/>
    <w:pPr>
      <w:ind w:firstLine="0"/>
    </w:pPr>
  </w:style>
  <w:style w:type="paragraph" w:styleId="ListContinue5">
    <w:name w:val="List Continue 5"/>
    <w:basedOn w:val="List5"/>
    <w:rsid w:val="008A0709"/>
    <w:pPr>
      <w:ind w:firstLine="0"/>
    </w:pPr>
  </w:style>
  <w:style w:type="paragraph" w:styleId="ListNumber3">
    <w:name w:val="List Number 3"/>
    <w:basedOn w:val="List3"/>
    <w:rsid w:val="008A0709"/>
    <w:pPr>
      <w:numPr>
        <w:numId w:val="6"/>
      </w:numPr>
    </w:pPr>
  </w:style>
  <w:style w:type="paragraph" w:styleId="ListNumber4">
    <w:name w:val="List Number 4"/>
    <w:basedOn w:val="List4"/>
    <w:rsid w:val="008A0709"/>
    <w:pPr>
      <w:numPr>
        <w:numId w:val="7"/>
      </w:numPr>
    </w:pPr>
  </w:style>
  <w:style w:type="paragraph" w:styleId="ListNumber5">
    <w:name w:val="List Number 5"/>
    <w:basedOn w:val="List5"/>
    <w:rsid w:val="008A0709"/>
    <w:pPr>
      <w:numPr>
        <w:numId w:val="8"/>
      </w:numPr>
    </w:pPr>
  </w:style>
  <w:style w:type="paragraph" w:styleId="BlockText">
    <w:name w:val="Block Text"/>
    <w:basedOn w:val="Normal"/>
    <w:rsid w:val="008A0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709"/>
    <w:rPr>
      <w:sz w:val="16"/>
      <w:vertAlign w:val="superscript"/>
    </w:rPr>
  </w:style>
  <w:style w:type="character" w:customStyle="1" w:styleId="Symbols">
    <w:name w:val="Symbols"/>
    <w:basedOn w:val="DefaultParagraphFont"/>
    <w:rsid w:val="008A0709"/>
    <w:rPr>
      <w:rFonts w:ascii="Symbol" w:hAnsi="Symbol"/>
    </w:rPr>
  </w:style>
  <w:style w:type="character" w:customStyle="1" w:styleId="MenuOptions">
    <w:name w:val="Menu Options"/>
    <w:basedOn w:val="DefaultParagraphFont"/>
    <w:rsid w:val="008A0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709"/>
    <w:rPr>
      <w:b/>
    </w:rPr>
  </w:style>
  <w:style w:type="character" w:customStyle="1" w:styleId="Underlined">
    <w:name w:val="Underlined"/>
    <w:basedOn w:val="DefaultParagraphFont"/>
    <w:rsid w:val="008A0709"/>
    <w:rPr>
      <w:u w:val="single"/>
    </w:rPr>
  </w:style>
  <w:style w:type="paragraph" w:customStyle="1" w:styleId="TableBodyTextRight">
    <w:name w:val="Table Body Text Right"/>
    <w:basedOn w:val="TableBodyText"/>
    <w:rsid w:val="008A0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709"/>
    <w:rPr>
      <w:sz w:val="18"/>
    </w:rPr>
  </w:style>
  <w:style w:type="paragraph" w:customStyle="1" w:styleId="BodySmallRight">
    <w:name w:val="Body Small Right"/>
    <w:basedOn w:val="BodyTextRight"/>
    <w:rsid w:val="008A0709"/>
    <w:rPr>
      <w:sz w:val="18"/>
      <w:szCs w:val="18"/>
    </w:rPr>
  </w:style>
  <w:style w:type="paragraph" w:customStyle="1" w:styleId="MarginEdition">
    <w:name w:val="Margin Edition"/>
    <w:basedOn w:val="MarginNote"/>
    <w:rsid w:val="008A0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709"/>
    <w:rPr>
      <w:sz w:val="2"/>
      <w:szCs w:val="2"/>
    </w:rPr>
  </w:style>
  <w:style w:type="character" w:customStyle="1" w:styleId="Small">
    <w:name w:val="Small"/>
    <w:basedOn w:val="DefaultParagraphFont"/>
    <w:rsid w:val="008A0709"/>
    <w:rPr>
      <w:sz w:val="16"/>
    </w:rPr>
  </w:style>
  <w:style w:type="paragraph" w:customStyle="1" w:styleId="WideTable">
    <w:name w:val="Wide Table"/>
    <w:basedOn w:val="Normal"/>
    <w:rsid w:val="008A0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709"/>
  </w:style>
  <w:style w:type="paragraph" w:styleId="Quote">
    <w:name w:val="Quote"/>
    <w:basedOn w:val="Heading1"/>
    <w:link w:val="QuoteChar"/>
    <w:qFormat/>
    <w:rsid w:val="008A0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709"/>
    <w:pPr>
      <w:pageBreakBefore/>
    </w:pPr>
  </w:style>
  <w:style w:type="paragraph" w:customStyle="1" w:styleId="Border">
    <w:name w:val="Border"/>
    <w:basedOn w:val="Normal"/>
    <w:qFormat/>
    <w:rsid w:val="008A0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709"/>
    <w:rPr>
      <w:u w:val="single"/>
    </w:rPr>
  </w:style>
  <w:style w:type="character" w:customStyle="1" w:styleId="BoldandItalics">
    <w:name w:val="Bold and Italics"/>
    <w:qFormat/>
    <w:rsid w:val="008A0709"/>
    <w:rPr>
      <w:b/>
      <w:i/>
      <w:u w:val="none"/>
    </w:rPr>
  </w:style>
  <w:style w:type="paragraph" w:styleId="BalloonText">
    <w:name w:val="Balloon Text"/>
    <w:basedOn w:val="Normal"/>
    <w:link w:val="BalloonTextChar"/>
    <w:rsid w:val="008A0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709"/>
    <w:pPr>
      <w:spacing w:before="0" w:after="0"/>
    </w:pPr>
  </w:style>
  <w:style w:type="paragraph" w:customStyle="1" w:styleId="BodyTextBold">
    <w:name w:val="Body Text Bold"/>
    <w:basedOn w:val="BodyText"/>
    <w:qFormat/>
    <w:rsid w:val="008A0709"/>
    <w:rPr>
      <w:b/>
    </w:rPr>
  </w:style>
  <w:style w:type="character" w:styleId="Hyperlink">
    <w:name w:val="Hyperlink"/>
    <w:basedOn w:val="DefaultParagraphFont"/>
    <w:uiPriority w:val="99"/>
    <w:unhideWhenUsed/>
    <w:rsid w:val="001E63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3485</Characters>
  <Application>Microsoft Office Word</Application>
  <DocSecurity>0</DocSecurity>
  <Lines>102</Lines>
  <Paragraphs>87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SITHFAB035 Provide silver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