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4EED" w:rsidP="00524E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SITEEVT037 Recruit and manage exhibitors</w:t>
      </w:r>
      <w:r>
        <w:fldChar w:fldCharType="end"/>
      </w:r>
    </w:p>
    <w:p w:rsidR="00524EED" w:rsidP="00524EED">
      <w:pPr>
        <w:pStyle w:val="Version"/>
        <w:sectPr w:rsidSect="000950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50FB" w:rsidP="000950FB">
      <w:pPr>
        <w:pStyle w:val="SuperHeading"/>
      </w:pPr>
      <w:r w:rsidRPr="000950FB">
        <w:t>SITEEVT037 Recruit and manage exhibitors</w:t>
      </w:r>
    </w:p>
    <w:p w:rsidR="00000000" w:rsidRPr="000950FB" w:rsidP="000950FB">
      <w:pPr>
        <w:pStyle w:val="Heading1"/>
      </w:pPr>
      <w:bookmarkStart w:id="1" w:name="O_1229121"/>
      <w:bookmarkEnd w:id="1"/>
      <w:r w:rsidRPr="000950FB">
        <w:t>Modification History</w:t>
      </w:r>
    </w:p>
    <w:p w:rsidR="00000000" w:rsidRPr="000950FB" w:rsidP="00524EED">
      <w:pPr>
        <w:pStyle w:val="BodyText"/>
      </w:pPr>
      <w:r w:rsidRPr="000950FB">
        <w:t>Not applicable.</w:t>
      </w:r>
    </w:p>
    <w:p w:rsidR="00000000" w:rsidRPr="000950FB" w:rsidP="000950FB">
      <w:pPr>
        <w:pStyle w:val="Heading1"/>
      </w:pPr>
      <w:bookmarkStart w:id="2" w:name="O_1229128"/>
      <w:bookmarkEnd w:id="2"/>
      <w:r w:rsidRPr="000950FB">
        <w:t>Application</w:t>
      </w:r>
    </w:p>
    <w:p w:rsidR="00000000" w:rsidRPr="000950FB" w:rsidP="00524EED">
      <w:pPr>
        <w:pStyle w:val="BodyText"/>
      </w:pPr>
      <w:r w:rsidRPr="000950FB">
        <w:t>This unit describes the performance outcomes, skills and knowledge required to recruit and work with exhibitors during the planning, production and follow-up phases of an exhibition.</w:t>
      </w:r>
    </w:p>
    <w:p w:rsidR="00000000" w:rsidRPr="000950FB" w:rsidP="00524EED">
      <w:pPr>
        <w:pStyle w:val="BodyText"/>
      </w:pPr>
      <w:r w:rsidRPr="000950FB">
        <w:t>Exhib</w:t>
      </w:r>
      <w:r w:rsidRPr="000950FB">
        <w:t xml:space="preserve">itions are events that bring sellers and buyers together. They could be trade or consumer-focused and may be stand-alone exhibitions or a component of other events such as fairs, expositions, conferences and festivals. This unit is relevant to exhibitions </w:t>
      </w:r>
      <w:r w:rsidRPr="000950FB">
        <w:t>that are diverse in nature and are coordinated in any industry context, including the tourism, hospitality, sport, cultural and community sectors.</w:t>
      </w:r>
    </w:p>
    <w:p w:rsidR="00000000" w:rsidRPr="000950FB" w:rsidP="00524EED">
      <w:pPr>
        <w:pStyle w:val="BodyText"/>
      </w:pPr>
      <w:r w:rsidRPr="000950FB">
        <w:t>It applies to workers who operate with significant autonomy and who are responsible for making strategic exhi</w:t>
      </w:r>
      <w:r w:rsidRPr="000950FB">
        <w:t>bition management decisions. They may work in exhibition management companies, in event venues or for organisations such as industry bodies that stage exhibitions.</w:t>
      </w:r>
    </w:p>
    <w:p w:rsidR="00000000" w:rsidRPr="000950FB" w:rsidP="00524EED">
      <w:pPr>
        <w:pStyle w:val="BodyText"/>
      </w:pPr>
      <w:r w:rsidRPr="000950FB">
        <w:t>The skills in this unit of competency must be applied in accordance with Commonwealth and St</w:t>
      </w:r>
      <w:r w:rsidRPr="000950FB">
        <w:t>ate/Territory legislation, Australian standards and industry codes of practice.</w:t>
      </w:r>
    </w:p>
    <w:p w:rsidR="00000000" w:rsidRPr="000950FB" w:rsidP="00524EED">
      <w:pPr>
        <w:pStyle w:val="BodyText"/>
      </w:pPr>
      <w:r w:rsidRPr="000950FB">
        <w:t>No occupational licensing, certification or specific legislative requirements apply to this unit at the time of publication.</w:t>
      </w:r>
    </w:p>
    <w:p w:rsidR="00000000" w:rsidRPr="000950FB" w:rsidP="000950FB">
      <w:pPr>
        <w:pStyle w:val="Heading1"/>
      </w:pPr>
      <w:bookmarkStart w:id="3" w:name="O_1229127"/>
      <w:bookmarkEnd w:id="3"/>
      <w:r w:rsidRPr="000950FB">
        <w:t>Pre-requisite Unit</w:t>
      </w:r>
    </w:p>
    <w:p w:rsidR="00000000" w:rsidRPr="000950FB" w:rsidP="00524EED">
      <w:pPr>
        <w:pStyle w:val="BodyText"/>
      </w:pPr>
      <w:r w:rsidRPr="000950FB">
        <w:t>Nil</w:t>
      </w:r>
    </w:p>
    <w:p w:rsidR="00000000" w:rsidRPr="000950FB" w:rsidP="000950FB">
      <w:pPr>
        <w:pStyle w:val="Heading1"/>
      </w:pPr>
      <w:bookmarkStart w:id="4" w:name="O_1229126"/>
      <w:bookmarkEnd w:id="4"/>
      <w:r w:rsidRPr="000950FB">
        <w:t>Competency Field</w:t>
      </w:r>
    </w:p>
    <w:p w:rsidR="00000000" w:rsidRPr="000950FB" w:rsidP="000950FB">
      <w:pPr>
        <w:pStyle w:val="Heading1"/>
      </w:pPr>
      <w:bookmarkStart w:id="5" w:name="O_1229125"/>
      <w:bookmarkEnd w:id="5"/>
      <w:r w:rsidRPr="000950FB">
        <w:t>Unit Sector</w:t>
      </w:r>
    </w:p>
    <w:p w:rsidR="00000000" w:rsidRPr="000950FB" w:rsidP="00524EED">
      <w:pPr>
        <w:pStyle w:val="BodyText"/>
      </w:pPr>
      <w:r w:rsidRPr="000950FB">
        <w:t>Events</w:t>
      </w:r>
    </w:p>
    <w:p w:rsidR="00000000" w:rsidRPr="000950FB" w:rsidP="000950FB">
      <w:pPr>
        <w:pStyle w:val="Heading1"/>
      </w:pPr>
      <w:bookmarkStart w:id="6" w:name="O_1229124"/>
      <w:bookmarkEnd w:id="6"/>
      <w:r w:rsidRPr="000950F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950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0FB" w:rsidP="000950FB">
            <w:pPr>
              <w:pStyle w:val="BodyText"/>
            </w:pPr>
            <w:r w:rsidRPr="000950F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0FB">
            <w:pPr>
              <w:pStyle w:val="BodyText"/>
              <w:rPr>
                <w:lang w:val="en-NZ"/>
              </w:rPr>
            </w:pPr>
            <w:r w:rsidRPr="000950FB">
              <w:rPr>
                <w:rStyle w:val="SpecialBold"/>
              </w:rPr>
              <w:t>PERFORMANCE</w:t>
            </w:r>
            <w:r w:rsidRPr="000950FB">
              <w:t xml:space="preserve"> </w:t>
            </w:r>
            <w:r w:rsidRPr="000950FB">
              <w:rPr>
                <w:rStyle w:val="SpecialBold"/>
              </w:rPr>
              <w:t>CRITERIA</w:t>
            </w:r>
          </w:p>
        </w:tc>
      </w:tr>
      <w:tr w:rsidTr="000950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0FB" w:rsidP="000950FB">
            <w:pPr>
              <w:pStyle w:val="BodyText"/>
            </w:pPr>
            <w:r w:rsidRPr="000950F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0FB">
            <w:pPr>
              <w:pStyle w:val="BodyText"/>
              <w:rPr>
                <w:lang w:val="en-NZ"/>
              </w:rPr>
            </w:pPr>
            <w:r w:rsidRPr="000950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50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0FB">
            <w:pPr>
              <w:pStyle w:val="List"/>
              <w:rPr>
                <w:lang w:val="en-NZ"/>
              </w:rPr>
            </w:pPr>
            <w:r w:rsidRPr="000950FB">
              <w:t>1.  Confirm exhibition scope and format.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0FB" w:rsidP="000950FB">
            <w:pPr>
              <w:pStyle w:val="List"/>
            </w:pPr>
            <w:r w:rsidRPr="000950FB">
              <w:t>1.1. Assess proposed exhibition concept to determine planning and operational requirements.</w:t>
            </w:r>
          </w:p>
          <w:p w:rsidR="00000000" w:rsidRPr="000950FB" w:rsidP="000950FB">
            <w:pPr>
              <w:pStyle w:val="List"/>
            </w:pPr>
            <w:r w:rsidRPr="000950FB">
              <w:t>1.2. Clarify exhibition ob</w:t>
            </w:r>
            <w:r w:rsidRPr="000950FB">
              <w:t>jectives with key stakeholders.</w:t>
            </w:r>
          </w:p>
          <w:p w:rsidR="00000000" w:rsidRPr="000950FB" w:rsidP="000950FB">
            <w:pPr>
              <w:pStyle w:val="List"/>
            </w:pPr>
            <w:r w:rsidRPr="000950FB">
              <w:t>1.3. Develop overall format in consultation with stakeholders.</w:t>
            </w:r>
          </w:p>
          <w:p w:rsidR="00000000" w:rsidP="000950FB">
            <w:pPr>
              <w:pStyle w:val="List"/>
              <w:rPr>
                <w:lang w:val="en-NZ"/>
              </w:rPr>
            </w:pPr>
            <w:r w:rsidRPr="000950FB">
              <w:t>1.4. Develop a work schedule to address exhibitor recruitment and management requirements.</w:t>
            </w:r>
          </w:p>
        </w:tc>
      </w:tr>
      <w:tr w:rsidTr="000950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0FB">
            <w:pPr>
              <w:pStyle w:val="List"/>
              <w:rPr>
                <w:lang w:val="en-NZ"/>
              </w:rPr>
            </w:pPr>
            <w:r w:rsidRPr="000950FB">
              <w:t>2.  Establish format for buyer and seller interaction.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0FB" w:rsidP="000950FB">
            <w:pPr>
              <w:pStyle w:val="List"/>
            </w:pPr>
            <w:r w:rsidRPr="000950FB">
              <w:t>2.1. Determine most appropriate format for buyer and seller interaction.</w:t>
            </w:r>
          </w:p>
          <w:p w:rsidR="00000000" w:rsidRPr="000950FB" w:rsidP="000950FB">
            <w:pPr>
              <w:pStyle w:val="List"/>
            </w:pPr>
            <w:r w:rsidRPr="000950FB">
              <w:t>2.2. Establish and monitor procedures and systems for one-to-one appointment scheduling when required.</w:t>
            </w:r>
          </w:p>
          <w:p w:rsidR="00000000" w:rsidP="000950FB">
            <w:pPr>
              <w:pStyle w:val="List"/>
              <w:rPr>
                <w:lang w:val="en-NZ"/>
              </w:rPr>
            </w:pPr>
            <w:r w:rsidRPr="000950FB">
              <w:t>2.3. Liaise with colleagues and stakeholders to ensure format, systems and proce</w:t>
            </w:r>
            <w:r w:rsidRPr="000950FB">
              <w:t>dures integrate well with other exhibition components and considerations.</w:t>
            </w:r>
          </w:p>
        </w:tc>
      </w:tr>
      <w:tr w:rsidTr="000950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0FB">
            <w:pPr>
              <w:pStyle w:val="List"/>
              <w:rPr>
                <w:lang w:val="en-NZ"/>
              </w:rPr>
            </w:pPr>
            <w:r w:rsidRPr="000950FB">
              <w:t>3.  Recruit exhibitors.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0FB" w:rsidP="000950FB">
            <w:pPr>
              <w:pStyle w:val="List"/>
            </w:pPr>
            <w:r w:rsidRPr="000950FB">
              <w:t>3.1. Develop a clear, professional and legally compliant exhibitor prospectus that includes breakdown of costs, benefits and relevant exhibitor information.</w:t>
            </w:r>
          </w:p>
          <w:p w:rsidR="00000000" w:rsidRPr="000950FB" w:rsidP="000950FB">
            <w:pPr>
              <w:pStyle w:val="List"/>
            </w:pPr>
            <w:r w:rsidRPr="000950FB">
              <w:t>3.2. Distribute and present exhibitor prospectus according to agreed targets and marketing plan.</w:t>
            </w:r>
          </w:p>
          <w:p w:rsidR="00000000" w:rsidRPr="000950FB" w:rsidP="000950FB">
            <w:pPr>
              <w:pStyle w:val="List"/>
            </w:pPr>
            <w:r w:rsidRPr="000950FB">
              <w:t>3.3. Maximise take-up of space and profitability through follow-up promotion and negotiation as required.</w:t>
            </w:r>
          </w:p>
          <w:p w:rsidR="00000000" w:rsidP="000950FB">
            <w:pPr>
              <w:pStyle w:val="List"/>
              <w:rPr>
                <w:lang w:val="en-NZ"/>
              </w:rPr>
            </w:pPr>
            <w:r w:rsidRPr="000950FB">
              <w:t>3.4. Execute exhibitor contracts and agreements inclu</w:t>
            </w:r>
            <w:r w:rsidRPr="000950FB">
              <w:t>ding full details of commitments made by both parties.</w:t>
            </w:r>
          </w:p>
        </w:tc>
      </w:tr>
      <w:tr w:rsidTr="000950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0FB">
            <w:pPr>
              <w:pStyle w:val="List"/>
              <w:rPr>
                <w:lang w:val="en-NZ"/>
              </w:rPr>
            </w:pPr>
            <w:r w:rsidRPr="000950FB">
              <w:t>4.  Support exhibitors.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0FB" w:rsidP="000950FB">
            <w:pPr>
              <w:pStyle w:val="List"/>
            </w:pPr>
            <w:r w:rsidRPr="000950FB">
              <w:t>4.1. Organise or provide exhibitor support services.</w:t>
            </w:r>
          </w:p>
          <w:p w:rsidR="00000000" w:rsidRPr="000950FB" w:rsidP="000950FB">
            <w:pPr>
              <w:pStyle w:val="List"/>
            </w:pPr>
            <w:r w:rsidRPr="000950FB">
              <w:t>4.2. Develop and distribute accurate and complete exhibitor kits at appropriate time.</w:t>
            </w:r>
          </w:p>
          <w:p w:rsidR="00000000" w:rsidRPr="000950FB" w:rsidP="000950FB">
            <w:pPr>
              <w:pStyle w:val="List"/>
            </w:pPr>
            <w:r w:rsidRPr="000950FB">
              <w:t>4.3. Organise or provide exhibitor op</w:t>
            </w:r>
            <w:r w:rsidRPr="000950FB">
              <w:t>erational support, briefings and debriefings according to agreements.</w:t>
            </w:r>
          </w:p>
          <w:p w:rsidR="00000000" w:rsidP="000950FB">
            <w:pPr>
              <w:pStyle w:val="List"/>
              <w:rPr>
                <w:lang w:val="en-NZ"/>
              </w:rPr>
            </w:pPr>
            <w:r w:rsidRPr="000950FB">
              <w:t>4.4. Liaise with exhibitors to identify issues and resolve as required.</w:t>
            </w:r>
          </w:p>
        </w:tc>
      </w:tr>
      <w:tr w:rsidTr="000950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0FB">
            <w:pPr>
              <w:pStyle w:val="List"/>
              <w:rPr>
                <w:lang w:val="en-NZ"/>
              </w:rPr>
            </w:pPr>
            <w:r w:rsidRPr="000950FB">
              <w:t>5.  Manage post-exhibition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0FB" w:rsidP="000950FB">
            <w:pPr>
              <w:pStyle w:val="List"/>
            </w:pPr>
            <w:r w:rsidRPr="000950FB">
              <w:t>5.1. Evaluate effectiveness of buyer and seller interactions based on agreed evaluation criteria.</w:t>
            </w:r>
          </w:p>
          <w:p w:rsidR="00000000" w:rsidRPr="000950FB" w:rsidP="000950FB">
            <w:pPr>
              <w:pStyle w:val="List"/>
            </w:pPr>
            <w:r w:rsidRPr="000950FB">
              <w:t>5.2. Follow up with exhibitors according to agreements, and seek feedback on exhibition operation.</w:t>
            </w:r>
          </w:p>
          <w:p w:rsidR="00000000" w:rsidRPr="000950FB" w:rsidP="000950FB">
            <w:pPr>
              <w:pStyle w:val="List"/>
            </w:pPr>
            <w:r w:rsidRPr="000950FB">
              <w:t>5.3. Incorporate outcomes of evaluation into future exhibit</w:t>
            </w:r>
            <w:r w:rsidRPr="000950FB">
              <w:t>ion planning.</w:t>
            </w:r>
          </w:p>
        </w:tc>
      </w:tr>
    </w:tbl>
    <w:p w:rsidR="00000000" w:rsidRPr="000950FB" w:rsidP="000950FB">
      <w:pPr>
        <w:pStyle w:val="BodyText"/>
      </w:pPr>
    </w:p>
    <w:p w:rsidR="00000000" w:rsidRPr="000950FB" w:rsidP="000950FB">
      <w:pPr>
        <w:pStyle w:val="AllowPageBreak"/>
      </w:pPr>
    </w:p>
    <w:p w:rsidR="00000000" w:rsidRPr="000950FB" w:rsidP="000950FB">
      <w:pPr>
        <w:pStyle w:val="Heading1"/>
      </w:pPr>
      <w:bookmarkStart w:id="7" w:name="O_1229123"/>
      <w:bookmarkEnd w:id="7"/>
      <w:r w:rsidRPr="000950F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950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0FB">
            <w:pPr>
              <w:pStyle w:val="BodyText"/>
              <w:rPr>
                <w:lang w:val="en-NZ"/>
              </w:rPr>
            </w:pPr>
            <w:r w:rsidRPr="000950FB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0950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0FB" w:rsidP="000950FB">
            <w:pPr>
              <w:pStyle w:val="BodyText"/>
            </w:pPr>
            <w:r w:rsidRPr="000950F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0FB">
            <w:pPr>
              <w:pStyle w:val="BodyText"/>
              <w:rPr>
                <w:lang w:val="en-NZ"/>
              </w:rPr>
            </w:pPr>
            <w:r w:rsidRPr="000950FB">
              <w:rPr>
                <w:rStyle w:val="SpecialBold"/>
              </w:rPr>
              <w:t>DESCRIPTION</w:t>
            </w:r>
          </w:p>
        </w:tc>
      </w:tr>
      <w:tr w:rsidTr="000950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0FB">
            <w:pPr>
              <w:pStyle w:val="BodyText"/>
              <w:rPr>
                <w:lang w:val="en-NZ"/>
              </w:rPr>
            </w:pPr>
            <w:r w:rsidRPr="000950F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0FB">
            <w:pPr>
              <w:pStyle w:val="ListBullet"/>
              <w:rPr>
                <w:lang w:val="en-NZ"/>
              </w:rPr>
            </w:pPr>
            <w:r w:rsidRPr="000950FB">
              <w:t>interpret and develop complex and varied exhibition management documentation.</w:t>
            </w:r>
          </w:p>
        </w:tc>
      </w:tr>
      <w:tr w:rsidTr="000950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0FB">
            <w:pPr>
              <w:pStyle w:val="BodyText"/>
              <w:rPr>
                <w:lang w:val="en-NZ"/>
              </w:rPr>
            </w:pPr>
            <w:r w:rsidRPr="000950FB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0FB">
            <w:pPr>
              <w:pStyle w:val="ListBullet"/>
              <w:rPr>
                <w:lang w:val="en-NZ"/>
              </w:rPr>
            </w:pPr>
            <w:r w:rsidRPr="000950FB">
              <w:t>develop comprehensive, cohesive and complex exhibitor documentation.</w:t>
            </w:r>
          </w:p>
        </w:tc>
      </w:tr>
      <w:tr w:rsidTr="000950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0FB">
            <w:pPr>
              <w:pStyle w:val="BodyText"/>
              <w:rPr>
                <w:lang w:val="en-NZ"/>
              </w:rPr>
            </w:pPr>
            <w:r w:rsidRPr="000950FB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0FB">
            <w:pPr>
              <w:pStyle w:val="ListBullet"/>
              <w:rPr>
                <w:lang w:val="en-NZ"/>
              </w:rPr>
            </w:pPr>
            <w:r w:rsidRPr="000950FB">
              <w:t>articulate stakeholder requirements and conduct meetings</w:t>
            </w:r>
            <w:r w:rsidRPr="000950FB">
              <w:t>.</w:t>
            </w:r>
          </w:p>
        </w:tc>
      </w:tr>
      <w:tr w:rsidTr="000950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0FB">
            <w:pPr>
              <w:pStyle w:val="BodyText"/>
              <w:rPr>
                <w:lang w:val="en-NZ"/>
              </w:rPr>
            </w:pPr>
            <w:r w:rsidRPr="000950FB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0FB" w:rsidP="000950FB">
            <w:pPr>
              <w:pStyle w:val="ListBullet"/>
            </w:pPr>
            <w:r w:rsidRPr="000950FB">
              <w:t>anticipate and respond to operational challenges when developing exhibition formats</w:t>
            </w:r>
          </w:p>
          <w:p w:rsidR="00000000" w:rsidP="000950FB">
            <w:pPr>
              <w:pStyle w:val="ListBullet"/>
              <w:rPr>
                <w:lang w:val="en-NZ"/>
              </w:rPr>
            </w:pPr>
            <w:r w:rsidRPr="000950FB">
              <w:t>take responsibility for resolving exhibitor problems during the exhibition.</w:t>
            </w:r>
          </w:p>
        </w:tc>
      </w:tr>
      <w:tr w:rsidTr="000950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0FB">
            <w:pPr>
              <w:pStyle w:val="BodyText"/>
              <w:rPr>
                <w:lang w:val="en-NZ"/>
              </w:rPr>
            </w:pPr>
            <w:r w:rsidRPr="000950FB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0FB">
            <w:pPr>
              <w:pStyle w:val="ListBullet"/>
              <w:rPr>
                <w:lang w:val="en-NZ"/>
              </w:rPr>
            </w:pPr>
            <w:r w:rsidRPr="000950FB">
              <w:t>maximise return on investm</w:t>
            </w:r>
            <w:r w:rsidRPr="000950FB">
              <w:t>ent and deliver on metrics for stakeholder groups.</w:t>
            </w:r>
          </w:p>
        </w:tc>
      </w:tr>
      <w:tr w:rsidTr="000950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0FB">
            <w:pPr>
              <w:pStyle w:val="BodyText"/>
              <w:rPr>
                <w:lang w:val="en-NZ"/>
              </w:rPr>
            </w:pPr>
            <w:r w:rsidRPr="000950FB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0FB">
            <w:pPr>
              <w:pStyle w:val="ListBullet"/>
              <w:rPr>
                <w:lang w:val="en-NZ"/>
              </w:rPr>
            </w:pPr>
            <w:r w:rsidRPr="000950FB">
              <w:t>establish and manage cohesive operational procedures and systems.</w:t>
            </w:r>
          </w:p>
        </w:tc>
      </w:tr>
      <w:tr w:rsidTr="000950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0FB">
            <w:pPr>
              <w:pStyle w:val="BodyText"/>
              <w:rPr>
                <w:lang w:val="en-NZ"/>
              </w:rPr>
            </w:pPr>
            <w:r w:rsidRPr="000950FB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0FB" w:rsidP="000950FB">
            <w:pPr>
              <w:pStyle w:val="ListBullet"/>
            </w:pPr>
            <w:r w:rsidRPr="000950FB">
              <w:t>meet required timelines.</w:t>
            </w:r>
          </w:p>
        </w:tc>
      </w:tr>
    </w:tbl>
    <w:p w:rsidR="00000000" w:rsidRPr="000950FB" w:rsidP="000950FB">
      <w:pPr>
        <w:pStyle w:val="BodyText"/>
      </w:pPr>
    </w:p>
    <w:p w:rsidR="00000000" w:rsidRPr="000950FB" w:rsidP="000950FB">
      <w:pPr>
        <w:pStyle w:val="AllowPageBreak"/>
      </w:pPr>
    </w:p>
    <w:p w:rsidR="00000000" w:rsidRPr="000950FB" w:rsidP="000950FB">
      <w:pPr>
        <w:pStyle w:val="Heading1"/>
      </w:pPr>
      <w:bookmarkStart w:id="8" w:name="O_1229122"/>
      <w:bookmarkEnd w:id="8"/>
      <w:r w:rsidRPr="000950FB">
        <w:t>Unit Mapping Information</w:t>
      </w:r>
    </w:p>
    <w:p w:rsidR="00000000" w:rsidRPr="000950FB" w:rsidP="00524EED">
      <w:pPr>
        <w:pStyle w:val="BodyText"/>
      </w:pPr>
      <w:r w:rsidRPr="000950FB">
        <w:t>Supersedes and is equivalent to SITEEVT019 Recruit and manage exhibitors.</w:t>
      </w:r>
    </w:p>
    <w:p w:rsidR="00000000" w:rsidRPr="000950FB" w:rsidP="000950FB">
      <w:pPr>
        <w:pStyle w:val="Heading1"/>
      </w:pPr>
      <w:bookmarkStart w:id="9" w:name="O_1229115"/>
      <w:bookmarkEnd w:id="9"/>
      <w:r w:rsidRPr="000950FB">
        <w:t>Links</w:t>
      </w:r>
    </w:p>
    <w:p w:rsidR="00000000" w:rsidRPr="000950FB" w:rsidP="00524EED">
      <w:pPr>
        <w:pStyle w:val="BodyText"/>
      </w:pPr>
      <w:r w:rsidRPr="000950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A0F1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950FB" w:rsidP="000950FB"/>
    <w:sectPr w:rsidSect="000950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0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0FB" w:rsidRPr="00524EED" w:rsidP="00524E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0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EED" w:rsidP="000950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4EED" w:rsidP="000950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24EED" w:rsidP="000950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0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E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50FB" w:rsidRPr="00524EED" w:rsidP="00524E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0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EED" w:rsidRPr="002D2AF8" w:rsidP="000950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SITEEVT037 Recruit and manage exhibitors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524EED" w:rsidP="000950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8CFE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6A65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0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50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50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50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50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50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50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50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50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50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50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50FB"/>
  </w:style>
  <w:style w:type="character" w:customStyle="1" w:styleId="Heading1Char">
    <w:name w:val="Heading 1 Char"/>
    <w:basedOn w:val="DefaultParagraphFont"/>
    <w:link w:val="Heading1"/>
    <w:rsid w:val="000950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50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50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950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50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50FB"/>
    <w:rPr>
      <w:b/>
      <w:spacing w:val="0"/>
    </w:rPr>
  </w:style>
  <w:style w:type="character" w:styleId="Emphasis">
    <w:name w:val="Emphasis"/>
    <w:basedOn w:val="DefaultParagraphFont"/>
    <w:qFormat/>
    <w:rsid w:val="000950FB"/>
    <w:rPr>
      <w:i/>
    </w:rPr>
  </w:style>
  <w:style w:type="paragraph" w:customStyle="1" w:styleId="SuperHeading">
    <w:name w:val="SuperHeading"/>
    <w:basedOn w:val="Normal"/>
    <w:rsid w:val="000950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50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50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50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50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50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50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50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50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50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50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50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50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50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50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50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50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50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50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50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950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50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50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50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50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50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50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50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50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50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50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50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50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50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50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50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50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50FB"/>
  </w:style>
  <w:style w:type="paragraph" w:styleId="TableofFigures">
    <w:name w:val="table of figures"/>
    <w:basedOn w:val="Normal"/>
    <w:next w:val="Normal"/>
    <w:semiHidden/>
    <w:rsid w:val="000950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50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50FB"/>
    <w:rPr>
      <w:rFonts w:ascii="Wingdings" w:hAnsi="Wingdings"/>
    </w:rPr>
  </w:style>
  <w:style w:type="paragraph" w:customStyle="1" w:styleId="TableHeading">
    <w:name w:val="Table Heading"/>
    <w:basedOn w:val="HeadingBase"/>
    <w:rsid w:val="000950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50FB"/>
    <w:rPr>
      <w:color w:val="0033CC"/>
      <w:u w:val="none"/>
    </w:rPr>
  </w:style>
  <w:style w:type="paragraph" w:customStyle="1" w:styleId="BodyTextRight">
    <w:name w:val="Body Text Right"/>
    <w:basedOn w:val="BodyText"/>
    <w:rsid w:val="000950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50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50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50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50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50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50FB"/>
    <w:rPr>
      <w:sz w:val="32"/>
    </w:rPr>
  </w:style>
  <w:style w:type="paragraph" w:customStyle="1" w:styleId="HeadingProcedure">
    <w:name w:val="Heading Procedure"/>
    <w:basedOn w:val="HeadingBase"/>
    <w:next w:val="Normal"/>
    <w:rsid w:val="000950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50FB"/>
    <w:pPr>
      <w:spacing w:before="60" w:after="60"/>
    </w:pPr>
  </w:style>
  <w:style w:type="paragraph" w:styleId="ListContinue">
    <w:name w:val="List Continue"/>
    <w:basedOn w:val="List"/>
    <w:rsid w:val="000950FB"/>
    <w:pPr>
      <w:ind w:firstLine="0"/>
    </w:pPr>
  </w:style>
  <w:style w:type="paragraph" w:customStyle="1" w:styleId="ListNote">
    <w:name w:val="List Note"/>
    <w:basedOn w:val="List"/>
    <w:rsid w:val="000950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50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50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50FB"/>
    <w:rPr>
      <w:rFonts w:ascii="Courier New" w:hAnsi="Courier New"/>
    </w:rPr>
  </w:style>
  <w:style w:type="paragraph" w:customStyle="1" w:styleId="NoteBullet">
    <w:name w:val="Note Bullet"/>
    <w:basedOn w:val="Note"/>
    <w:rsid w:val="000950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50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50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50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50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50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50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50FB"/>
    <w:rPr>
      <w:b/>
      <w:smallCaps/>
    </w:rPr>
  </w:style>
  <w:style w:type="paragraph" w:customStyle="1" w:styleId="TableListNumber">
    <w:name w:val="Table List Number"/>
    <w:basedOn w:val="ListNumber"/>
    <w:rsid w:val="000950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50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50FB"/>
    <w:pPr>
      <w:numPr>
        <w:numId w:val="8"/>
      </w:numPr>
    </w:pPr>
  </w:style>
  <w:style w:type="paragraph" w:customStyle="1" w:styleId="ListAlpha2">
    <w:name w:val="List Alpha 2"/>
    <w:basedOn w:val="List2"/>
    <w:rsid w:val="000950FB"/>
    <w:pPr>
      <w:numPr>
        <w:numId w:val="7"/>
      </w:numPr>
    </w:pPr>
  </w:style>
  <w:style w:type="paragraph" w:styleId="List2">
    <w:name w:val="List 2"/>
    <w:basedOn w:val="BodyText"/>
    <w:rsid w:val="000950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50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50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50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50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50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50FB"/>
    <w:pPr>
      <w:numPr>
        <w:numId w:val="3"/>
      </w:numPr>
    </w:pPr>
  </w:style>
  <w:style w:type="paragraph" w:styleId="ListContinue2">
    <w:name w:val="List Continue 2"/>
    <w:basedOn w:val="List2"/>
    <w:rsid w:val="000950FB"/>
    <w:pPr>
      <w:ind w:firstLine="0"/>
    </w:pPr>
  </w:style>
  <w:style w:type="paragraph" w:styleId="ListContinue3">
    <w:name w:val="List Continue 3"/>
    <w:basedOn w:val="List3"/>
    <w:rsid w:val="000950FB"/>
    <w:pPr>
      <w:ind w:left="1021" w:firstLine="0"/>
    </w:pPr>
  </w:style>
  <w:style w:type="paragraph" w:styleId="ListContinue4">
    <w:name w:val="List Continue 4"/>
    <w:basedOn w:val="List4"/>
    <w:rsid w:val="000950FB"/>
    <w:pPr>
      <w:ind w:firstLine="0"/>
    </w:pPr>
  </w:style>
  <w:style w:type="paragraph" w:styleId="ListContinue5">
    <w:name w:val="List Continue 5"/>
    <w:basedOn w:val="List5"/>
    <w:rsid w:val="000950FB"/>
    <w:pPr>
      <w:ind w:firstLine="0"/>
    </w:pPr>
  </w:style>
  <w:style w:type="paragraph" w:styleId="ListNumber3">
    <w:name w:val="List Number 3"/>
    <w:basedOn w:val="List3"/>
    <w:rsid w:val="000950FB"/>
    <w:pPr>
      <w:numPr>
        <w:numId w:val="4"/>
      </w:numPr>
    </w:pPr>
  </w:style>
  <w:style w:type="paragraph" w:styleId="ListNumber4">
    <w:name w:val="List Number 4"/>
    <w:basedOn w:val="List4"/>
    <w:rsid w:val="000950FB"/>
    <w:pPr>
      <w:numPr>
        <w:numId w:val="5"/>
      </w:numPr>
    </w:pPr>
  </w:style>
  <w:style w:type="paragraph" w:styleId="ListNumber5">
    <w:name w:val="List Number 5"/>
    <w:basedOn w:val="List5"/>
    <w:rsid w:val="000950FB"/>
    <w:pPr>
      <w:numPr>
        <w:numId w:val="6"/>
      </w:numPr>
    </w:pPr>
  </w:style>
  <w:style w:type="paragraph" w:styleId="BlockText">
    <w:name w:val="Block Text"/>
    <w:basedOn w:val="Normal"/>
    <w:rsid w:val="000950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50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50FB"/>
    <w:rPr>
      <w:sz w:val="16"/>
      <w:vertAlign w:val="superscript"/>
    </w:rPr>
  </w:style>
  <w:style w:type="character" w:customStyle="1" w:styleId="Symbols">
    <w:name w:val="Symbols"/>
    <w:basedOn w:val="DefaultParagraphFont"/>
    <w:rsid w:val="000950FB"/>
    <w:rPr>
      <w:rFonts w:ascii="Symbol" w:hAnsi="Symbol"/>
    </w:rPr>
  </w:style>
  <w:style w:type="character" w:customStyle="1" w:styleId="MenuOptions">
    <w:name w:val="Menu Options"/>
    <w:basedOn w:val="DefaultParagraphFont"/>
    <w:rsid w:val="000950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50FB"/>
    <w:rPr>
      <w:b/>
    </w:rPr>
  </w:style>
  <w:style w:type="character" w:customStyle="1" w:styleId="Underlined">
    <w:name w:val="Underlined"/>
    <w:basedOn w:val="DefaultParagraphFont"/>
    <w:rsid w:val="000950FB"/>
    <w:rPr>
      <w:u w:val="single"/>
    </w:rPr>
  </w:style>
  <w:style w:type="paragraph" w:customStyle="1" w:styleId="TableBodyTextRight">
    <w:name w:val="Table Body Text Right"/>
    <w:basedOn w:val="TableBodyText"/>
    <w:rsid w:val="000950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50FB"/>
    <w:rPr>
      <w:sz w:val="18"/>
    </w:rPr>
  </w:style>
  <w:style w:type="paragraph" w:customStyle="1" w:styleId="BodySmallRight">
    <w:name w:val="Body Small Right"/>
    <w:basedOn w:val="BodyTextRight"/>
    <w:rsid w:val="000950FB"/>
    <w:rPr>
      <w:sz w:val="18"/>
      <w:szCs w:val="18"/>
    </w:rPr>
  </w:style>
  <w:style w:type="paragraph" w:customStyle="1" w:styleId="MarginEdition">
    <w:name w:val="Margin Edition"/>
    <w:basedOn w:val="MarginNote"/>
    <w:rsid w:val="000950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50FB"/>
    <w:rPr>
      <w:sz w:val="2"/>
      <w:szCs w:val="2"/>
    </w:rPr>
  </w:style>
  <w:style w:type="character" w:customStyle="1" w:styleId="Small">
    <w:name w:val="Small"/>
    <w:basedOn w:val="DefaultParagraphFont"/>
    <w:rsid w:val="000950FB"/>
    <w:rPr>
      <w:sz w:val="16"/>
    </w:rPr>
  </w:style>
  <w:style w:type="paragraph" w:customStyle="1" w:styleId="WideTable">
    <w:name w:val="Wide Table"/>
    <w:basedOn w:val="Normal"/>
    <w:rsid w:val="000950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50FB"/>
  </w:style>
  <w:style w:type="paragraph" w:styleId="Quote">
    <w:name w:val="Quote"/>
    <w:basedOn w:val="Heading1"/>
    <w:link w:val="QuoteChar"/>
    <w:qFormat/>
    <w:rsid w:val="000950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50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50FB"/>
    <w:pPr>
      <w:pageBreakBefore/>
    </w:pPr>
  </w:style>
  <w:style w:type="paragraph" w:customStyle="1" w:styleId="Border">
    <w:name w:val="Border"/>
    <w:basedOn w:val="Normal"/>
    <w:qFormat/>
    <w:rsid w:val="000950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50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0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0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50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50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50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50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50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50FB"/>
    <w:rPr>
      <w:u w:val="single"/>
    </w:rPr>
  </w:style>
  <w:style w:type="character" w:customStyle="1" w:styleId="BoldandItalics">
    <w:name w:val="Bold and Italics"/>
    <w:qFormat/>
    <w:rsid w:val="000950FB"/>
    <w:rPr>
      <w:b/>
      <w:i/>
      <w:u w:val="none"/>
    </w:rPr>
  </w:style>
  <w:style w:type="paragraph" w:styleId="BalloonText">
    <w:name w:val="Balloon Text"/>
    <w:basedOn w:val="Normal"/>
    <w:link w:val="BalloonTextChar"/>
    <w:rsid w:val="000950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50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50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50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50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50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50FB"/>
    <w:pPr>
      <w:spacing w:before="0" w:after="0"/>
    </w:pPr>
  </w:style>
  <w:style w:type="paragraph" w:customStyle="1" w:styleId="BodyTextBold">
    <w:name w:val="Body Text Bold"/>
    <w:basedOn w:val="BodyText"/>
    <w:qFormat/>
    <w:rsid w:val="000950FB"/>
    <w:rPr>
      <w:b/>
    </w:rPr>
  </w:style>
  <w:style w:type="character" w:styleId="Hyperlink">
    <w:name w:val="Hyperlink"/>
    <w:basedOn w:val="DefaultParagraphFont"/>
    <w:uiPriority w:val="99"/>
    <w:unhideWhenUsed/>
    <w:rsid w:val="00524E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4172</Characters>
  <Application>Microsoft Office Word</Application>
  <DocSecurity>0</DocSecurity>
  <Lines>130</Lines>
  <Paragraphs>79</Paragraphs>
  <ScaleCrop>false</ScaleCrop>
  <Company>Author-it Software Corporation Ltd.</Company>
  <LinksUpToDate>false</LinksUpToDate>
  <CharactersWithSpaces>4720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SITEEVT037 Recruit and manage exhibitors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2023-03-02T05:12:00Z</dcterms:created>
  <dcterms:modified xsi:type="dcterms:W3CDTF">2023-03-02T05:12:00Z</dcterms:modified>
</cp:coreProperties>
</file>