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646" w:rsidP="009B6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SITEEVT037 Recruit and manage exhibitors</w:t>
      </w:r>
      <w:r>
        <w:fldChar w:fldCharType="end"/>
      </w:r>
    </w:p>
    <w:p w:rsidR="009B6646" w:rsidP="009B6646">
      <w:pPr>
        <w:pStyle w:val="Version"/>
        <w:sectPr w:rsidSect="002A0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86A" w:rsidP="002A086A">
      <w:pPr>
        <w:pStyle w:val="SuperHeading"/>
      </w:pPr>
      <w:r w:rsidRPr="002A086A">
        <w:t>SITEEVT037 Recruit and manage exhibitors</w:t>
      </w:r>
    </w:p>
    <w:p w:rsidR="00000000" w:rsidRPr="002A086A" w:rsidP="002A086A">
      <w:pPr>
        <w:pStyle w:val="Heading1"/>
      </w:pPr>
      <w:bookmarkStart w:id="1" w:name="O_1229121"/>
      <w:bookmarkEnd w:id="1"/>
      <w:r w:rsidRPr="002A086A">
        <w:t>Modification History</w:t>
      </w:r>
    </w:p>
    <w:p w:rsidR="00000000" w:rsidRPr="002A086A" w:rsidP="009B6646">
      <w:pPr>
        <w:pStyle w:val="BodyText"/>
      </w:pPr>
      <w:r w:rsidRPr="002A086A">
        <w:t>Not applicable.</w:t>
      </w:r>
    </w:p>
    <w:p w:rsidR="00000000" w:rsidRPr="002A086A" w:rsidP="002A086A">
      <w:pPr>
        <w:pStyle w:val="Heading1"/>
      </w:pPr>
      <w:bookmarkStart w:id="2" w:name="O_1229128"/>
      <w:bookmarkEnd w:id="2"/>
      <w:r w:rsidRPr="002A086A">
        <w:t>Application</w:t>
      </w:r>
    </w:p>
    <w:p w:rsidR="00000000" w:rsidRPr="002A086A" w:rsidP="009B6646">
      <w:pPr>
        <w:pStyle w:val="BodyText"/>
      </w:pPr>
      <w:r w:rsidRPr="002A086A">
        <w:t>This unit describes the performance outcomes, skills and knowledge required to recruit and work with exhibitors during the planning, production and follow-up phases of an exhibition.</w:t>
      </w:r>
    </w:p>
    <w:p w:rsidR="00000000" w:rsidRPr="002A086A" w:rsidP="009B6646">
      <w:pPr>
        <w:pStyle w:val="BodyText"/>
      </w:pPr>
      <w:r w:rsidRPr="002A086A">
        <w:t>Exhib</w:t>
      </w:r>
      <w:r w:rsidRPr="002A086A">
        <w:t xml:space="preserve">itions are events that bring sellers and buyers together. They could be trade or consumer-focused and may be stand-alone exhibitions or a component of other events such as fairs, expositions, conferences and festivals. This unit is relevant to exhibitions </w:t>
      </w:r>
      <w:r w:rsidRPr="002A086A">
        <w:t>that are diverse in nature and are coordinated in any industry context, including the tourism, hospitality, sport, cultural and community sectors.</w:t>
      </w:r>
    </w:p>
    <w:p w:rsidR="00000000" w:rsidRPr="002A086A" w:rsidP="009B6646">
      <w:pPr>
        <w:pStyle w:val="BodyText"/>
      </w:pPr>
      <w:r w:rsidRPr="002A086A">
        <w:t>It applies to workers who operate with significant autonomy and who are responsible for making strategic exhi</w:t>
      </w:r>
      <w:r w:rsidRPr="002A086A">
        <w:t>bition management decisions. They may work in exhibition management companies, in event venues or for organisations such as industry bodies that stage exhibitions.</w:t>
      </w:r>
    </w:p>
    <w:p w:rsidR="00000000" w:rsidRPr="002A086A" w:rsidP="009B6646">
      <w:pPr>
        <w:pStyle w:val="BodyText"/>
      </w:pPr>
      <w:r w:rsidRPr="002A086A">
        <w:t>The skills in this unit of competency must be applied in accordance with Commonwealth and St</w:t>
      </w:r>
      <w:r w:rsidRPr="002A086A">
        <w:t>ate/Territory legislation, Australian standards and industry codes of practice.</w:t>
      </w:r>
    </w:p>
    <w:p w:rsidR="00000000" w:rsidRPr="002A086A" w:rsidP="009B6646">
      <w:pPr>
        <w:pStyle w:val="BodyText"/>
      </w:pPr>
      <w:r w:rsidRPr="002A086A">
        <w:t>No occupational licensing, certification or specific legislative requirements apply to this unit at the time of publication.</w:t>
      </w:r>
    </w:p>
    <w:p w:rsidR="00000000" w:rsidRPr="002A086A" w:rsidP="002A086A">
      <w:pPr>
        <w:pStyle w:val="Heading1"/>
      </w:pPr>
      <w:bookmarkStart w:id="3" w:name="O_1229127"/>
      <w:bookmarkEnd w:id="3"/>
      <w:r w:rsidRPr="002A086A">
        <w:t>Pre-requisite Unit</w:t>
      </w:r>
    </w:p>
    <w:p w:rsidR="00000000" w:rsidRPr="002A086A" w:rsidP="009B6646">
      <w:pPr>
        <w:pStyle w:val="BodyText"/>
      </w:pPr>
      <w:r w:rsidRPr="002A086A">
        <w:t>Nil</w:t>
      </w:r>
    </w:p>
    <w:p w:rsidR="00000000" w:rsidRPr="002A086A" w:rsidP="002A086A">
      <w:pPr>
        <w:pStyle w:val="Heading1"/>
      </w:pPr>
      <w:bookmarkStart w:id="4" w:name="O_1229126"/>
      <w:bookmarkEnd w:id="4"/>
      <w:r w:rsidRPr="002A086A">
        <w:t>Competency Field</w:t>
      </w:r>
    </w:p>
    <w:p w:rsidR="00000000" w:rsidRPr="002A086A" w:rsidP="002A086A">
      <w:pPr>
        <w:pStyle w:val="Heading1"/>
      </w:pPr>
      <w:bookmarkStart w:id="5" w:name="O_1229125"/>
      <w:bookmarkEnd w:id="5"/>
      <w:r w:rsidRPr="002A086A">
        <w:t>Unit Sector</w:t>
      </w:r>
    </w:p>
    <w:p w:rsidR="00000000" w:rsidRPr="002A086A" w:rsidP="009B6646">
      <w:pPr>
        <w:pStyle w:val="BodyText"/>
      </w:pPr>
      <w:r w:rsidRPr="002A086A">
        <w:t>Events</w:t>
      </w:r>
    </w:p>
    <w:p w:rsidR="00000000" w:rsidRPr="002A086A" w:rsidP="002A086A">
      <w:pPr>
        <w:pStyle w:val="Heading1"/>
      </w:pPr>
      <w:bookmarkStart w:id="6" w:name="O_1229124"/>
      <w:bookmarkEnd w:id="6"/>
      <w:r w:rsidRPr="002A08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6A" w:rsidP="002A086A">
            <w:pPr>
              <w:pStyle w:val="BodyText"/>
            </w:pPr>
            <w:r w:rsidRPr="002A086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rPr>
                <w:rStyle w:val="SpecialBold"/>
              </w:rPr>
              <w:t>PERFORMANCE</w:t>
            </w:r>
            <w:r w:rsidRPr="002A086A">
              <w:t xml:space="preserve"> </w:t>
            </w:r>
            <w:r w:rsidRPr="002A086A">
              <w:rPr>
                <w:rStyle w:val="SpecialBold"/>
              </w:rPr>
              <w:t>CRITERIA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6A" w:rsidP="002A086A">
            <w:pPr>
              <w:pStyle w:val="BodyText"/>
            </w:pPr>
            <w:r w:rsidRPr="002A086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List"/>
              <w:rPr>
                <w:lang w:val="en-NZ"/>
              </w:rPr>
            </w:pPr>
            <w:r w:rsidRPr="002A086A">
              <w:t>1.  Confirm exhibition scope and format.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6A" w:rsidP="002A086A">
            <w:pPr>
              <w:pStyle w:val="List"/>
            </w:pPr>
            <w:r w:rsidRPr="002A086A">
              <w:t>1.1. Assess proposed exhibition concept to determine planning and operational requirements.</w:t>
            </w:r>
          </w:p>
          <w:p w:rsidR="00000000" w:rsidRPr="002A086A" w:rsidP="002A086A">
            <w:pPr>
              <w:pStyle w:val="List"/>
            </w:pPr>
            <w:r w:rsidRPr="002A086A">
              <w:t>1.2. Clarify exhibition ob</w:t>
            </w:r>
            <w:r w:rsidRPr="002A086A">
              <w:t>jectives with key stakeholders.</w:t>
            </w:r>
          </w:p>
          <w:p w:rsidR="00000000" w:rsidRPr="002A086A" w:rsidP="002A086A">
            <w:pPr>
              <w:pStyle w:val="List"/>
            </w:pPr>
            <w:r w:rsidRPr="002A086A">
              <w:t>1.3. Develop overall format in consultation with stakeholders.</w:t>
            </w:r>
          </w:p>
          <w:p w:rsidR="00000000" w:rsidP="002A086A">
            <w:pPr>
              <w:pStyle w:val="List"/>
              <w:rPr>
                <w:lang w:val="en-NZ"/>
              </w:rPr>
            </w:pPr>
            <w:r w:rsidRPr="002A086A">
              <w:t>1.4. Develop a work schedule to address exhibitor recruitment and management requirements.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List"/>
              <w:rPr>
                <w:lang w:val="en-NZ"/>
              </w:rPr>
            </w:pPr>
            <w:r w:rsidRPr="002A086A">
              <w:t>2.  Establish format for buyer and seller interaction.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6A" w:rsidP="002A086A">
            <w:pPr>
              <w:pStyle w:val="List"/>
            </w:pPr>
            <w:r w:rsidRPr="002A086A">
              <w:t>2.1. Determine most appropriate format for buyer and seller interaction.</w:t>
            </w:r>
          </w:p>
          <w:p w:rsidR="00000000" w:rsidRPr="002A086A" w:rsidP="002A086A">
            <w:pPr>
              <w:pStyle w:val="List"/>
            </w:pPr>
            <w:r w:rsidRPr="002A086A">
              <w:t>2.2. Establish and monitor procedures and systems for one-to-one appointment scheduling when required.</w:t>
            </w:r>
          </w:p>
          <w:p w:rsidR="00000000" w:rsidP="002A086A">
            <w:pPr>
              <w:pStyle w:val="List"/>
              <w:rPr>
                <w:lang w:val="en-NZ"/>
              </w:rPr>
            </w:pPr>
            <w:r w:rsidRPr="002A086A">
              <w:t>2.3. Liaise with colleagues and stakeholders to ensure format, systems and proce</w:t>
            </w:r>
            <w:r w:rsidRPr="002A086A">
              <w:t>dures integrate well with other exhibition components and considerations.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List"/>
              <w:rPr>
                <w:lang w:val="en-NZ"/>
              </w:rPr>
            </w:pPr>
            <w:r w:rsidRPr="002A086A">
              <w:t>3.  Recruit exhibitors.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6A" w:rsidP="002A086A">
            <w:pPr>
              <w:pStyle w:val="List"/>
            </w:pPr>
            <w:r w:rsidRPr="002A086A">
              <w:t>3.1. Develop a clear, professional and legally compliant exhibitor prospectus that includes breakdown of costs, benefits and relevant exhibitor information.</w:t>
            </w:r>
          </w:p>
          <w:p w:rsidR="00000000" w:rsidRPr="002A086A" w:rsidP="002A086A">
            <w:pPr>
              <w:pStyle w:val="List"/>
            </w:pPr>
            <w:r w:rsidRPr="002A086A">
              <w:t>3.2. Distribute and present exhibitor prospectus according to agreed targets and marketing plan.</w:t>
            </w:r>
          </w:p>
          <w:p w:rsidR="00000000" w:rsidRPr="002A086A" w:rsidP="002A086A">
            <w:pPr>
              <w:pStyle w:val="List"/>
            </w:pPr>
            <w:r w:rsidRPr="002A086A">
              <w:t>3.3. Maximise take-up of space and profitability through follow-up promotion and negotiation as required.</w:t>
            </w:r>
          </w:p>
          <w:p w:rsidR="00000000" w:rsidP="002A086A">
            <w:pPr>
              <w:pStyle w:val="List"/>
              <w:rPr>
                <w:lang w:val="en-NZ"/>
              </w:rPr>
            </w:pPr>
            <w:r w:rsidRPr="002A086A">
              <w:t>3.4. Execute exhibitor contracts and agreements inclu</w:t>
            </w:r>
            <w:r w:rsidRPr="002A086A">
              <w:t>ding full details of commitments made by both parties.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List"/>
              <w:rPr>
                <w:lang w:val="en-NZ"/>
              </w:rPr>
            </w:pPr>
            <w:r w:rsidRPr="002A086A">
              <w:t>4.  Support exhibitors.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6A" w:rsidP="002A086A">
            <w:pPr>
              <w:pStyle w:val="List"/>
            </w:pPr>
            <w:r w:rsidRPr="002A086A">
              <w:t>4.1. Organise or provide exhibitor support services.</w:t>
            </w:r>
          </w:p>
          <w:p w:rsidR="00000000" w:rsidRPr="002A086A" w:rsidP="002A086A">
            <w:pPr>
              <w:pStyle w:val="List"/>
            </w:pPr>
            <w:r w:rsidRPr="002A086A">
              <w:t>4.2. Develop and distribute accurate and complete exhibitor kits at appropriate time.</w:t>
            </w:r>
          </w:p>
          <w:p w:rsidR="00000000" w:rsidRPr="002A086A" w:rsidP="002A086A">
            <w:pPr>
              <w:pStyle w:val="List"/>
            </w:pPr>
            <w:r w:rsidRPr="002A086A">
              <w:t>4.3. Organise or provide exhibitor op</w:t>
            </w:r>
            <w:r w:rsidRPr="002A086A">
              <w:t>erational support, briefings and debriefings according to agreements.</w:t>
            </w:r>
          </w:p>
          <w:p w:rsidR="00000000" w:rsidP="002A086A">
            <w:pPr>
              <w:pStyle w:val="List"/>
              <w:rPr>
                <w:lang w:val="en-NZ"/>
              </w:rPr>
            </w:pPr>
            <w:r w:rsidRPr="002A086A">
              <w:t>4.4. Liaise with exhibitors to identify issues and resolve as required.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List"/>
              <w:rPr>
                <w:lang w:val="en-NZ"/>
              </w:rPr>
            </w:pPr>
            <w:r w:rsidRPr="002A086A">
              <w:t>5.  Manage post-exhibition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6A" w:rsidP="002A086A">
            <w:pPr>
              <w:pStyle w:val="List"/>
            </w:pPr>
            <w:r w:rsidRPr="002A086A">
              <w:t>5.1. Evaluate effectiveness of buyer and seller interactions based on agreed evaluation criteria.</w:t>
            </w:r>
          </w:p>
          <w:p w:rsidR="00000000" w:rsidRPr="002A086A" w:rsidP="002A086A">
            <w:pPr>
              <w:pStyle w:val="List"/>
            </w:pPr>
            <w:r w:rsidRPr="002A086A">
              <w:t>5.2. Follow up with exhibitors according to agreements, and seek feedback on exhibition operation.</w:t>
            </w:r>
          </w:p>
          <w:p w:rsidR="00000000" w:rsidRPr="002A086A" w:rsidP="002A086A">
            <w:pPr>
              <w:pStyle w:val="List"/>
            </w:pPr>
            <w:r w:rsidRPr="002A086A">
              <w:t>5.3. Incorporate outcomes of evaluation into future exhibit</w:t>
            </w:r>
            <w:r w:rsidRPr="002A086A">
              <w:t>ion planning.</w:t>
            </w:r>
          </w:p>
        </w:tc>
      </w:tr>
    </w:tbl>
    <w:p w:rsidR="00000000" w:rsidRPr="002A086A" w:rsidP="002A086A">
      <w:pPr>
        <w:pStyle w:val="BodyText"/>
      </w:pPr>
    </w:p>
    <w:p w:rsidR="00000000" w:rsidRPr="002A086A" w:rsidP="002A086A">
      <w:pPr>
        <w:pStyle w:val="AllowPageBreak"/>
      </w:pPr>
    </w:p>
    <w:p w:rsidR="00000000" w:rsidRPr="002A086A" w:rsidP="002A086A">
      <w:pPr>
        <w:pStyle w:val="Heading1"/>
      </w:pPr>
      <w:bookmarkStart w:id="7" w:name="O_1229123"/>
      <w:bookmarkEnd w:id="7"/>
      <w:r w:rsidRPr="002A086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6A" w:rsidP="002A086A">
            <w:pPr>
              <w:pStyle w:val="BodyText"/>
            </w:pPr>
            <w:r w:rsidRPr="002A086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rPr>
                <w:rStyle w:val="SpecialBold"/>
              </w:rPr>
              <w:t>DESCRIPTION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ListBullet"/>
              <w:rPr>
                <w:lang w:val="en-NZ"/>
              </w:rPr>
            </w:pPr>
            <w:r w:rsidRPr="002A086A">
              <w:t>interpret and develop complex and varied exhibition management documentation.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ListBullet"/>
              <w:rPr>
                <w:lang w:val="en-NZ"/>
              </w:rPr>
            </w:pPr>
            <w:r w:rsidRPr="002A086A">
              <w:t>develop comprehensive, cohesive and complex exhibitor documentation.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ListBullet"/>
              <w:rPr>
                <w:lang w:val="en-NZ"/>
              </w:rPr>
            </w:pPr>
            <w:r w:rsidRPr="002A086A">
              <w:t>articulate stakeholder requirements and conduct meetings</w:t>
            </w:r>
            <w:r w:rsidRPr="002A086A">
              <w:t>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6A" w:rsidP="002A086A">
            <w:pPr>
              <w:pStyle w:val="ListBullet"/>
            </w:pPr>
            <w:r w:rsidRPr="002A086A">
              <w:t>anticipate and respond to operational challenges when developing exhibition formats</w:t>
            </w:r>
          </w:p>
          <w:p w:rsidR="00000000" w:rsidP="002A086A">
            <w:pPr>
              <w:pStyle w:val="ListBullet"/>
              <w:rPr>
                <w:lang w:val="en-NZ"/>
              </w:rPr>
            </w:pPr>
            <w:r w:rsidRPr="002A086A">
              <w:t>take responsibility for resolving exhibitor problems during the exhibition.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ListBullet"/>
              <w:rPr>
                <w:lang w:val="en-NZ"/>
              </w:rPr>
            </w:pPr>
            <w:r w:rsidRPr="002A086A">
              <w:t>maximise return on investment and deliver on metrics for stakeholder groups.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ListBullet"/>
              <w:rPr>
                <w:lang w:val="en-NZ"/>
              </w:rPr>
            </w:pPr>
            <w:r w:rsidRPr="002A086A">
              <w:t>establish and manage cohesive operational procedures and systems.</w:t>
            </w:r>
          </w:p>
        </w:tc>
      </w:tr>
      <w:tr w:rsidTr="002A0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6A">
            <w:pPr>
              <w:pStyle w:val="BodyText"/>
              <w:rPr>
                <w:lang w:val="en-NZ"/>
              </w:rPr>
            </w:pPr>
            <w:r w:rsidRPr="002A086A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86A" w:rsidP="002A086A">
            <w:pPr>
              <w:pStyle w:val="ListBullet"/>
            </w:pPr>
            <w:r w:rsidRPr="002A086A">
              <w:t>meet required timelines.</w:t>
            </w:r>
          </w:p>
        </w:tc>
      </w:tr>
    </w:tbl>
    <w:p w:rsidR="00000000" w:rsidRPr="002A086A" w:rsidP="002A086A">
      <w:pPr>
        <w:pStyle w:val="BodyText"/>
      </w:pPr>
    </w:p>
    <w:p w:rsidR="00000000" w:rsidRPr="002A086A" w:rsidP="002A086A">
      <w:pPr>
        <w:pStyle w:val="AllowPageBreak"/>
      </w:pPr>
    </w:p>
    <w:p w:rsidR="00000000" w:rsidRPr="002A086A" w:rsidP="002A086A">
      <w:pPr>
        <w:pStyle w:val="Heading1"/>
      </w:pPr>
      <w:bookmarkStart w:id="8" w:name="O_1229122"/>
      <w:bookmarkEnd w:id="8"/>
      <w:r w:rsidRPr="002A086A">
        <w:t>Unit Mapping Information</w:t>
      </w:r>
    </w:p>
    <w:p w:rsidR="00000000" w:rsidRPr="002A086A" w:rsidP="009B6646">
      <w:pPr>
        <w:pStyle w:val="BodyText"/>
      </w:pPr>
      <w:r w:rsidRPr="002A086A">
        <w:t>Supersedes and is equivalent to SITEEVT019 Recruit and manage exhibitors.</w:t>
      </w:r>
    </w:p>
    <w:p w:rsidR="00000000" w:rsidRPr="002A086A" w:rsidP="002A086A">
      <w:pPr>
        <w:pStyle w:val="Heading1"/>
      </w:pPr>
      <w:bookmarkStart w:id="9" w:name="O_1229115"/>
      <w:bookmarkEnd w:id="9"/>
      <w:r w:rsidRPr="002A086A">
        <w:t>Links</w:t>
      </w:r>
    </w:p>
    <w:p w:rsidR="00000000" w:rsidRPr="002A086A" w:rsidP="009B6646">
      <w:pPr>
        <w:pStyle w:val="BodyText"/>
      </w:pPr>
      <w:r w:rsidRPr="002A0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F65D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A086A" w:rsidP="009B6646">
      <w:pPr>
        <w:pStyle w:val="BodyText"/>
        <w:sectPr w:rsidSect="002A08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086A" w:rsidP="002A086A">
      <w:pPr>
        <w:pStyle w:val="SuperHeading"/>
      </w:pPr>
      <w:r w:rsidRPr="002A086A">
        <w:t>Assessment Requirements for SITEEVT037 Recruit and manage exhibitors</w:t>
      </w:r>
    </w:p>
    <w:p w:rsidR="00000000" w:rsidRPr="002A086A" w:rsidP="002A086A">
      <w:pPr>
        <w:pStyle w:val="Heading1"/>
      </w:pPr>
      <w:bookmarkStart w:id="10" w:name="O_1229117"/>
      <w:bookmarkEnd w:id="10"/>
      <w:r w:rsidRPr="002A086A">
        <w:t>Modification History</w:t>
      </w:r>
    </w:p>
    <w:p w:rsidR="00000000" w:rsidRPr="002A086A" w:rsidP="009B6646">
      <w:pPr>
        <w:pStyle w:val="BodyText"/>
      </w:pPr>
      <w:r w:rsidRPr="002A086A">
        <w:t>Not applicable.</w:t>
      </w:r>
    </w:p>
    <w:p w:rsidR="00000000" w:rsidRPr="002A086A" w:rsidP="002A086A">
      <w:pPr>
        <w:pStyle w:val="Heading1"/>
      </w:pPr>
      <w:bookmarkStart w:id="11" w:name="O_1229120"/>
      <w:bookmarkEnd w:id="11"/>
      <w:r w:rsidRPr="002A086A">
        <w:t>Performance Evidence</w:t>
      </w:r>
    </w:p>
    <w:p w:rsidR="00000000" w:rsidRPr="002A086A" w:rsidP="009B6646">
      <w:pPr>
        <w:pStyle w:val="BodyText"/>
      </w:pPr>
      <w:r w:rsidRPr="002A086A">
        <w:t>Evidence of the ability to complete tasks outlined in elements and performance criteria of this unit in the context of the job role, and:</w:t>
      </w:r>
    </w:p>
    <w:p w:rsidR="00000000" w:rsidRPr="002A086A" w:rsidP="002A086A">
      <w:pPr>
        <w:pStyle w:val="ListBullet"/>
      </w:pPr>
      <w:r w:rsidRPr="002A086A">
        <w:t>consult with stakeholders and develop the exhibition format and work schedule for one exhibition with multiple operat</w:t>
      </w:r>
      <w:r w:rsidRPr="002A086A">
        <w:t>ional components which covers:</w:t>
      </w:r>
    </w:p>
    <w:p w:rsidR="00000000" w:rsidRPr="002A086A" w:rsidP="002A086A">
      <w:pPr>
        <w:pStyle w:val="ListBullet2"/>
      </w:pPr>
      <w:r w:rsidRPr="002A086A">
        <w:t>key exhibition activities</w:t>
      </w:r>
    </w:p>
    <w:p w:rsidR="00000000" w:rsidRPr="002A086A" w:rsidP="002A086A">
      <w:pPr>
        <w:pStyle w:val="ListBullet2"/>
      </w:pPr>
      <w:r w:rsidRPr="002A086A">
        <w:t>interrelationships between exhibitors, organisers and stakeholders</w:t>
      </w:r>
    </w:p>
    <w:p w:rsidR="00000000" w:rsidRPr="002A086A" w:rsidP="002A086A">
      <w:pPr>
        <w:pStyle w:val="ListBullet2"/>
      </w:pPr>
      <w:r w:rsidRPr="002A086A">
        <w:t>exhibition timelines</w:t>
      </w:r>
    </w:p>
    <w:p w:rsidR="00000000" w:rsidRPr="002A086A" w:rsidP="002A086A">
      <w:pPr>
        <w:pStyle w:val="ListBullet"/>
      </w:pPr>
      <w:r w:rsidRPr="002A086A">
        <w:t xml:space="preserve">analyse operational constraints, review exhibition objectives, and consult with exhibition stakeholders </w:t>
      </w:r>
      <w:r w:rsidRPr="002A086A">
        <w:t>to determine an appropriate buyer and seller format for the above exhibition</w:t>
      </w:r>
    </w:p>
    <w:p w:rsidR="00000000" w:rsidRPr="002A086A" w:rsidP="002A086A">
      <w:pPr>
        <w:pStyle w:val="ListBullet"/>
      </w:pPr>
      <w:r w:rsidRPr="002A086A">
        <w:t>develop and distribute exhibitor prospectus for above exhibition that includes information on:</w:t>
      </w:r>
    </w:p>
    <w:p w:rsidR="00000000" w:rsidRPr="002A086A" w:rsidP="002A086A">
      <w:pPr>
        <w:pStyle w:val="ListBullet2"/>
      </w:pPr>
      <w:r w:rsidRPr="002A086A">
        <w:t>attendance expectations and profile</w:t>
      </w:r>
    </w:p>
    <w:p w:rsidR="00000000" w:rsidRPr="002A086A" w:rsidP="002A086A">
      <w:pPr>
        <w:pStyle w:val="ListBullet2"/>
      </w:pPr>
      <w:r w:rsidRPr="002A086A">
        <w:t>bump in and bump out details</w:t>
      </w:r>
    </w:p>
    <w:p w:rsidR="00000000" w:rsidRPr="002A086A" w:rsidP="002A086A">
      <w:pPr>
        <w:pStyle w:val="ListBullet2"/>
      </w:pPr>
      <w:r w:rsidRPr="002A086A">
        <w:t>contact details</w:t>
      </w:r>
    </w:p>
    <w:p w:rsidR="00000000" w:rsidRPr="002A086A" w:rsidP="002A086A">
      <w:pPr>
        <w:pStyle w:val="ListBullet2"/>
      </w:pPr>
      <w:r w:rsidRPr="002A086A">
        <w:t>ex</w:t>
      </w:r>
      <w:r w:rsidRPr="002A086A">
        <w:t>hibition</w:t>
      </w:r>
    </w:p>
    <w:p w:rsidR="00000000" w:rsidRPr="002A086A" w:rsidP="002A086A">
      <w:pPr>
        <w:pStyle w:val="ListBullet2"/>
      </w:pPr>
      <w:r w:rsidRPr="002A086A">
        <w:t>features and benefits of participation</w:t>
      </w:r>
    </w:p>
    <w:p w:rsidR="00000000" w:rsidRPr="002A086A" w:rsidP="002A086A">
      <w:pPr>
        <w:pStyle w:val="ListBullet2"/>
      </w:pPr>
      <w:r w:rsidRPr="002A086A">
        <w:t>insurance requirements</w:t>
      </w:r>
    </w:p>
    <w:p w:rsidR="00000000" w:rsidRPr="002A086A" w:rsidP="002A086A">
      <w:pPr>
        <w:pStyle w:val="ListBullet2"/>
      </w:pPr>
      <w:r w:rsidRPr="002A086A">
        <w:t>marking initiatives and exhibition promotion</w:t>
      </w:r>
    </w:p>
    <w:p w:rsidR="00000000" w:rsidRPr="002A086A" w:rsidP="002A086A">
      <w:pPr>
        <w:pStyle w:val="ListBullet2"/>
      </w:pPr>
      <w:r w:rsidRPr="002A086A">
        <w:t>participation costs and levels</w:t>
      </w:r>
    </w:p>
    <w:p w:rsidR="00000000" w:rsidRPr="002A086A" w:rsidP="002A086A">
      <w:pPr>
        <w:pStyle w:val="ListBullet2"/>
      </w:pPr>
      <w:r w:rsidRPr="002A086A">
        <w:t>previous exhibition performance data</w:t>
      </w:r>
    </w:p>
    <w:p w:rsidR="00000000" w:rsidRPr="002A086A" w:rsidP="002A086A">
      <w:pPr>
        <w:pStyle w:val="ListBullet2"/>
      </w:pPr>
      <w:r w:rsidRPr="002A086A">
        <w:t>sponsorship details</w:t>
      </w:r>
    </w:p>
    <w:p w:rsidR="00000000" w:rsidRPr="002A086A" w:rsidP="002A086A">
      <w:pPr>
        <w:pStyle w:val="ListBullet2"/>
      </w:pPr>
      <w:r w:rsidRPr="002A086A">
        <w:t>venue layout, floor plans and general information</w:t>
      </w:r>
    </w:p>
    <w:p w:rsidR="00000000" w:rsidRPr="002A086A" w:rsidP="002A086A">
      <w:pPr>
        <w:pStyle w:val="ListBullet"/>
      </w:pPr>
      <w:r w:rsidRPr="002A086A">
        <w:t>follow up with prospective exhibitors and prospectus recipients to maximise take-up of space and exhibition profitability for above exhibition</w:t>
      </w:r>
    </w:p>
    <w:p w:rsidR="00000000" w:rsidRPr="002A086A" w:rsidP="002A086A">
      <w:pPr>
        <w:pStyle w:val="ListBullet"/>
      </w:pPr>
      <w:r w:rsidRPr="002A086A">
        <w:t>develop evaluation criteria and evaluate exhibition effectiveness for the above exhibition by measuring:</w:t>
      </w:r>
    </w:p>
    <w:p w:rsidR="00000000" w:rsidRPr="002A086A" w:rsidP="002A086A">
      <w:pPr>
        <w:pStyle w:val="ListBullet2"/>
      </w:pPr>
      <w:r w:rsidRPr="002A086A">
        <w:t>exhibit</w:t>
      </w:r>
      <w:r w:rsidRPr="002A086A">
        <w:t>or, buyer and sponsor feedback</w:t>
      </w:r>
    </w:p>
    <w:p w:rsidR="00000000" w:rsidRPr="002A086A" w:rsidP="002A086A">
      <w:pPr>
        <w:pStyle w:val="ListBullet2"/>
      </w:pPr>
      <w:r w:rsidRPr="002A086A">
        <w:t>number of attending buyers</w:t>
      </w:r>
    </w:p>
    <w:p w:rsidR="00000000" w:rsidRPr="002A086A" w:rsidP="002A086A">
      <w:pPr>
        <w:pStyle w:val="ListBullet2"/>
      </w:pPr>
      <w:r w:rsidRPr="002A086A">
        <w:t>operational efficiency</w:t>
      </w:r>
    </w:p>
    <w:p w:rsidR="00000000" w:rsidRPr="002A086A" w:rsidP="002A086A">
      <w:pPr>
        <w:pStyle w:val="ListBullet2"/>
      </w:pPr>
      <w:r w:rsidRPr="002A086A">
        <w:t>profitability</w:t>
      </w:r>
    </w:p>
    <w:p w:rsidR="00000000" w:rsidRPr="002A086A" w:rsidP="002A086A">
      <w:pPr>
        <w:pStyle w:val="ListBullet2"/>
      </w:pPr>
      <w:r w:rsidRPr="002A086A">
        <w:t>venue service levels.</w:t>
      </w:r>
    </w:p>
    <w:p w:rsidR="00000000" w:rsidRPr="002A086A" w:rsidP="002A086A">
      <w:pPr>
        <w:pStyle w:val="AllowPageBreak"/>
      </w:pPr>
    </w:p>
    <w:p w:rsidR="00000000" w:rsidRPr="002A086A" w:rsidP="002A086A">
      <w:pPr>
        <w:pStyle w:val="Heading1"/>
      </w:pPr>
      <w:bookmarkStart w:id="12" w:name="O_1229119"/>
      <w:bookmarkEnd w:id="12"/>
      <w:r w:rsidRPr="002A086A">
        <w:t>Knowledge Evidence</w:t>
      </w:r>
    </w:p>
    <w:p w:rsidR="00000000" w:rsidRPr="002A086A" w:rsidP="009B6646">
      <w:pPr>
        <w:pStyle w:val="BodyText"/>
      </w:pPr>
      <w:r w:rsidRPr="002A086A">
        <w:t>Demonstrated knowledge required to complete the tasks outlined in elements and performance criteria o</w:t>
      </w:r>
      <w:r w:rsidRPr="002A086A">
        <w:t>f this unit:</w:t>
      </w:r>
    </w:p>
    <w:p w:rsidR="00000000" w:rsidRPr="002A086A" w:rsidP="002A086A">
      <w:pPr>
        <w:pStyle w:val="ListBullet"/>
      </w:pPr>
      <w:r w:rsidRPr="002A086A">
        <w:t>characteristics of different types of exhibitions, their purposes and objectives:</w:t>
      </w:r>
    </w:p>
    <w:p w:rsidR="00000000" w:rsidRPr="002A086A" w:rsidP="002A086A">
      <w:pPr>
        <w:pStyle w:val="ListBullet2"/>
      </w:pPr>
      <w:r w:rsidRPr="002A086A">
        <w:t>trade or industry</w:t>
      </w:r>
    </w:p>
    <w:p w:rsidR="00000000" w:rsidRPr="002A086A" w:rsidP="002A086A">
      <w:pPr>
        <w:pStyle w:val="ListBullet2"/>
      </w:pPr>
      <w:r w:rsidRPr="002A086A">
        <w:t>consumer</w:t>
      </w:r>
    </w:p>
    <w:p w:rsidR="00000000" w:rsidRPr="002A086A" w:rsidP="002A086A">
      <w:pPr>
        <w:pStyle w:val="ListBullet2"/>
      </w:pPr>
      <w:r w:rsidRPr="002A086A">
        <w:t>commercial</w:t>
      </w:r>
    </w:p>
    <w:p w:rsidR="00000000" w:rsidRPr="002A086A" w:rsidP="002A086A">
      <w:pPr>
        <w:pStyle w:val="ListBullet2"/>
      </w:pPr>
      <w:r w:rsidRPr="002A086A">
        <w:t>non-commercial</w:t>
      </w:r>
    </w:p>
    <w:p w:rsidR="00000000" w:rsidRPr="002A086A" w:rsidP="002A086A">
      <w:pPr>
        <w:pStyle w:val="ListBullet"/>
      </w:pPr>
      <w:r w:rsidRPr="002A086A">
        <w:t>roles, responsibilities, interrelationships and hierarchy of control of different stakeholders in exhibition planning and operation</w:t>
      </w:r>
    </w:p>
    <w:p w:rsidR="00000000" w:rsidRPr="002A086A" w:rsidP="002A086A">
      <w:pPr>
        <w:pStyle w:val="ListBullet"/>
      </w:pPr>
      <w:r w:rsidRPr="002A086A">
        <w:t>formats and options for bringing buyers and sellers together:</w:t>
      </w:r>
    </w:p>
    <w:p w:rsidR="00000000" w:rsidRPr="002A086A" w:rsidP="002A086A">
      <w:pPr>
        <w:pStyle w:val="ListBullet2"/>
      </w:pPr>
      <w:r w:rsidRPr="002A086A">
        <w:t>suitability of different formats for different types of exhib</w:t>
      </w:r>
      <w:r w:rsidRPr="002A086A">
        <w:t>ition</w:t>
      </w:r>
    </w:p>
    <w:p w:rsidR="00000000" w:rsidRPr="002A086A" w:rsidP="002A086A">
      <w:pPr>
        <w:pStyle w:val="ListBullet2"/>
      </w:pPr>
      <w:r w:rsidRPr="002A086A">
        <w:t>advantages and disadvantages of different formats</w:t>
      </w:r>
    </w:p>
    <w:p w:rsidR="00000000" w:rsidRPr="002A086A" w:rsidP="002A086A">
      <w:pPr>
        <w:pStyle w:val="ListBullet2"/>
      </w:pPr>
      <w:r w:rsidRPr="002A086A">
        <w:t>exhibition layouts in the relevant industry context</w:t>
      </w:r>
    </w:p>
    <w:p w:rsidR="00000000" w:rsidRPr="002A086A" w:rsidP="002A086A">
      <w:pPr>
        <w:pStyle w:val="ListBullet"/>
      </w:pPr>
      <w:r w:rsidRPr="002A086A">
        <w:t>formats for buyer and seller interactions:</w:t>
      </w:r>
    </w:p>
    <w:p w:rsidR="00000000" w:rsidRPr="002A086A" w:rsidP="002A086A">
      <w:pPr>
        <w:pStyle w:val="ListBullet2"/>
      </w:pPr>
      <w:r w:rsidRPr="002A086A">
        <w:t>appointments made during exhibition period</w:t>
      </w:r>
    </w:p>
    <w:p w:rsidR="00000000" w:rsidRPr="002A086A" w:rsidP="002A086A">
      <w:pPr>
        <w:pStyle w:val="ListBullet2"/>
      </w:pPr>
      <w:r w:rsidRPr="002A086A">
        <w:t>combination of different formats</w:t>
      </w:r>
    </w:p>
    <w:p w:rsidR="00000000" w:rsidRPr="002A086A" w:rsidP="002A086A">
      <w:pPr>
        <w:pStyle w:val="ListBullet2"/>
      </w:pPr>
      <w:r w:rsidRPr="002A086A">
        <w:t>free flow</w:t>
      </w:r>
    </w:p>
    <w:p w:rsidR="00000000" w:rsidRPr="002A086A" w:rsidP="002A086A">
      <w:pPr>
        <w:pStyle w:val="ListBullet2"/>
      </w:pPr>
      <w:r w:rsidRPr="002A086A">
        <w:t>prearranged appointments</w:t>
      </w:r>
    </w:p>
    <w:p w:rsidR="00000000" w:rsidRPr="002A086A" w:rsidP="002A086A">
      <w:pPr>
        <w:pStyle w:val="ListBullet2"/>
      </w:pPr>
      <w:r w:rsidRPr="002A086A">
        <w:t>scheduled presentations</w:t>
      </w:r>
    </w:p>
    <w:p w:rsidR="00000000" w:rsidRPr="002A086A" w:rsidP="002A086A">
      <w:pPr>
        <w:pStyle w:val="ListBullet"/>
      </w:pPr>
      <w:r w:rsidRPr="002A086A">
        <w:t>formats, features and inclusions for exhibitor prospectus kit and feedback documentation</w:t>
      </w:r>
    </w:p>
    <w:p w:rsidR="00000000" w:rsidRPr="002A086A" w:rsidP="002A086A">
      <w:pPr>
        <w:pStyle w:val="ListBullet"/>
      </w:pPr>
      <w:r w:rsidRPr="002A086A">
        <w:t>exhibitor support services:</w:t>
      </w:r>
    </w:p>
    <w:p w:rsidR="00000000" w:rsidRPr="002A086A" w:rsidP="002A086A">
      <w:pPr>
        <w:pStyle w:val="ListBullet2"/>
      </w:pPr>
      <w:r w:rsidRPr="002A086A">
        <w:t>accommodation</w:t>
      </w:r>
    </w:p>
    <w:p w:rsidR="00000000" w:rsidRPr="002A086A" w:rsidP="002A086A">
      <w:pPr>
        <w:pStyle w:val="ListBullet2"/>
      </w:pPr>
      <w:r w:rsidRPr="002A086A">
        <w:t>answering general enquiries</w:t>
      </w:r>
    </w:p>
    <w:p w:rsidR="00000000" w:rsidRPr="002A086A" w:rsidP="002A086A">
      <w:pPr>
        <w:pStyle w:val="ListBullet2"/>
      </w:pPr>
      <w:r w:rsidRPr="002A086A">
        <w:t>assistance with additional promotions</w:t>
      </w:r>
    </w:p>
    <w:p w:rsidR="00000000" w:rsidRPr="002A086A" w:rsidP="002A086A">
      <w:pPr>
        <w:pStyle w:val="ListBullet2"/>
      </w:pPr>
      <w:r w:rsidRPr="002A086A">
        <w:t>briefing</w:t>
      </w:r>
      <w:r w:rsidRPr="002A086A">
        <w:t>s and debriefings</w:t>
      </w:r>
    </w:p>
    <w:p w:rsidR="00000000" w:rsidRPr="002A086A" w:rsidP="002A086A">
      <w:pPr>
        <w:pStyle w:val="ListBullet2"/>
      </w:pPr>
      <w:r w:rsidRPr="002A086A">
        <w:t>providing updated information</w:t>
      </w:r>
    </w:p>
    <w:p w:rsidR="00000000" w:rsidRPr="002A086A" w:rsidP="002A086A">
      <w:pPr>
        <w:pStyle w:val="ListBullet2"/>
      </w:pPr>
      <w:r w:rsidRPr="002A086A">
        <w:t>travel</w:t>
      </w:r>
    </w:p>
    <w:p w:rsidR="00000000" w:rsidRPr="002A086A" w:rsidP="002A086A">
      <w:pPr>
        <w:pStyle w:val="ListBullet"/>
      </w:pPr>
      <w:r w:rsidRPr="002A086A">
        <w:t>information included in exhibitor kits:</w:t>
      </w:r>
    </w:p>
    <w:p w:rsidR="00000000" w:rsidRPr="002A086A" w:rsidP="002A086A">
      <w:pPr>
        <w:pStyle w:val="ListBullet2"/>
      </w:pPr>
      <w:r w:rsidRPr="002A086A">
        <w:t>access</w:t>
      </w:r>
    </w:p>
    <w:p w:rsidR="00000000" w:rsidRPr="002A086A" w:rsidP="002A086A">
      <w:pPr>
        <w:pStyle w:val="ListBullet2"/>
      </w:pPr>
      <w:r w:rsidRPr="002A086A">
        <w:t>delivery details</w:t>
      </w:r>
    </w:p>
    <w:p w:rsidR="00000000" w:rsidRPr="002A086A" w:rsidP="002A086A">
      <w:pPr>
        <w:pStyle w:val="ListBullet2"/>
      </w:pPr>
      <w:r w:rsidRPr="002A086A">
        <w:t>floor plans</w:t>
      </w:r>
    </w:p>
    <w:p w:rsidR="00000000" w:rsidRPr="002A086A" w:rsidP="002A086A">
      <w:pPr>
        <w:pStyle w:val="ListBullet2"/>
      </w:pPr>
      <w:r w:rsidRPr="002A086A">
        <w:t>sponsors</w:t>
      </w:r>
    </w:p>
    <w:p w:rsidR="00000000" w:rsidRPr="002A086A" w:rsidP="002A086A">
      <w:pPr>
        <w:pStyle w:val="ListBullet2"/>
      </w:pPr>
      <w:r w:rsidRPr="002A086A">
        <w:t>technical services</w:t>
      </w:r>
    </w:p>
    <w:p w:rsidR="00000000" w:rsidRPr="002A086A" w:rsidP="002A086A">
      <w:pPr>
        <w:pStyle w:val="ListBullet2"/>
      </w:pPr>
      <w:r w:rsidRPr="002A086A">
        <w:t>times and schedules</w:t>
      </w:r>
    </w:p>
    <w:p w:rsidR="00000000" w:rsidRPr="002A086A" w:rsidP="002A086A">
      <w:pPr>
        <w:pStyle w:val="ListBullet2"/>
      </w:pPr>
      <w:r w:rsidRPr="002A086A">
        <w:t>travel arrangements</w:t>
      </w:r>
    </w:p>
    <w:p w:rsidR="00000000" w:rsidRPr="002A086A" w:rsidP="002A086A">
      <w:pPr>
        <w:pStyle w:val="ListBullet2"/>
      </w:pPr>
      <w:r w:rsidRPr="002A086A">
        <w:t>venues</w:t>
      </w:r>
    </w:p>
    <w:p w:rsidR="00000000" w:rsidRPr="002A086A" w:rsidP="002A086A">
      <w:pPr>
        <w:pStyle w:val="ListBullet"/>
      </w:pPr>
      <w:r w:rsidRPr="002A086A">
        <w:t>legal considerations for exhibitor recruitment and management:</w:t>
      </w:r>
    </w:p>
    <w:p w:rsidR="00000000" w:rsidRPr="002A086A" w:rsidP="002A086A">
      <w:pPr>
        <w:pStyle w:val="ListBullet2"/>
      </w:pPr>
      <w:r w:rsidRPr="002A086A">
        <w:t>consumer protection</w:t>
      </w:r>
    </w:p>
    <w:p w:rsidR="00000000" w:rsidRPr="002A086A" w:rsidP="002A086A">
      <w:pPr>
        <w:pStyle w:val="ListBullet2"/>
      </w:pPr>
      <w:r w:rsidRPr="002A086A">
        <w:t>public liability and duty of care</w:t>
      </w:r>
    </w:p>
    <w:p w:rsidR="00000000" w:rsidRPr="002A086A" w:rsidP="002A086A">
      <w:pPr>
        <w:pStyle w:val="ListBullet"/>
      </w:pPr>
      <w:r w:rsidRPr="002A086A">
        <w:t>risks, issues and challenges commonly encountered in exhibitor management and ways to avoid and manage them</w:t>
      </w:r>
    </w:p>
    <w:p w:rsidR="00000000" w:rsidRPr="002A086A" w:rsidP="002A086A">
      <w:pPr>
        <w:pStyle w:val="ListBullet"/>
      </w:pPr>
      <w:r w:rsidRPr="002A086A">
        <w:t>evaluation and performance me</w:t>
      </w:r>
      <w:r w:rsidRPr="002A086A">
        <w:t>asurement systems for events:</w:t>
      </w:r>
    </w:p>
    <w:p w:rsidR="00000000" w:rsidRPr="002A086A" w:rsidP="002A086A">
      <w:pPr>
        <w:pStyle w:val="ListBullet2"/>
      </w:pPr>
      <w:r w:rsidRPr="002A086A">
        <w:t>formats and systems</w:t>
      </w:r>
    </w:p>
    <w:p w:rsidR="00000000" w:rsidRPr="002A086A" w:rsidP="002A086A">
      <w:pPr>
        <w:pStyle w:val="ListBullet2"/>
      </w:pPr>
      <w:r w:rsidRPr="002A086A">
        <w:t>qualitative and quantitative evaluation criteria and ways to evaluate having achieved them.</w:t>
      </w:r>
    </w:p>
    <w:p w:rsidR="00000000" w:rsidRPr="002A086A" w:rsidP="002A086A">
      <w:pPr>
        <w:pStyle w:val="AllowPageBreak"/>
      </w:pPr>
    </w:p>
    <w:p w:rsidR="00000000" w:rsidRPr="002A086A" w:rsidP="002A086A">
      <w:pPr>
        <w:pStyle w:val="Heading1"/>
      </w:pPr>
      <w:bookmarkStart w:id="13" w:name="O_1229118"/>
      <w:bookmarkEnd w:id="13"/>
      <w:r w:rsidRPr="002A086A">
        <w:t>Assessment Conditions</w:t>
      </w:r>
    </w:p>
    <w:p w:rsidR="00000000" w:rsidRPr="002A086A" w:rsidP="009B6646">
      <w:pPr>
        <w:pStyle w:val="BodyText"/>
      </w:pPr>
      <w:r w:rsidRPr="002A086A">
        <w:t>Skills must be demonstrated in:</w:t>
      </w:r>
    </w:p>
    <w:p w:rsidR="00000000" w:rsidRPr="002A086A" w:rsidP="002A086A">
      <w:pPr>
        <w:pStyle w:val="ListBullet"/>
      </w:pPr>
      <w:r w:rsidRPr="002A086A">
        <w:t>a live exhibition; or</w:t>
      </w:r>
    </w:p>
    <w:p w:rsidR="00000000" w:rsidRPr="002A086A" w:rsidP="002A086A">
      <w:pPr>
        <w:pStyle w:val="ListBullet"/>
      </w:pPr>
      <w:r w:rsidRPr="002A086A">
        <w:t>a simulated exhibition set up for the purpose of assessment.</w:t>
      </w:r>
    </w:p>
    <w:p w:rsidR="00000000" w:rsidRPr="002A086A" w:rsidP="009B6646">
      <w:pPr>
        <w:pStyle w:val="BodyText"/>
      </w:pPr>
      <w:r w:rsidRPr="002A086A">
        <w:t>Assessment must ensure access to:</w:t>
      </w:r>
    </w:p>
    <w:p w:rsidR="00000000" w:rsidRPr="002A086A" w:rsidP="002A086A">
      <w:pPr>
        <w:pStyle w:val="ListBullet"/>
      </w:pPr>
      <w:r w:rsidRPr="002A086A">
        <w:t>venues and sites where exhibitions are staged</w:t>
      </w:r>
    </w:p>
    <w:p w:rsidR="00000000" w:rsidRPr="002A086A" w:rsidP="002A086A">
      <w:pPr>
        <w:pStyle w:val="ListBullet"/>
      </w:pPr>
      <w:r w:rsidRPr="002A086A">
        <w:t>exhibition budgets</w:t>
      </w:r>
    </w:p>
    <w:p w:rsidR="00000000" w:rsidRPr="002A086A" w:rsidP="002A086A">
      <w:pPr>
        <w:pStyle w:val="ListBullet"/>
      </w:pPr>
      <w:r w:rsidRPr="002A086A">
        <w:t>exhibition plans</w:t>
      </w:r>
    </w:p>
    <w:p w:rsidR="00000000" w:rsidRPr="002A086A" w:rsidP="002A086A">
      <w:pPr>
        <w:pStyle w:val="ListBullet"/>
      </w:pPr>
      <w:r w:rsidRPr="002A086A">
        <w:t>formal communication plans</w:t>
      </w:r>
    </w:p>
    <w:p w:rsidR="00000000" w:rsidRPr="002A086A" w:rsidP="002A086A">
      <w:pPr>
        <w:pStyle w:val="ListBullet"/>
      </w:pPr>
      <w:r w:rsidRPr="002A086A">
        <w:t>exhibitor contracts and agreements</w:t>
      </w:r>
    </w:p>
    <w:p w:rsidR="00000000" w:rsidRPr="002A086A" w:rsidP="002A086A">
      <w:pPr>
        <w:pStyle w:val="ListBullet"/>
      </w:pPr>
      <w:r w:rsidRPr="002A086A">
        <w:t>exhibitor kits</w:t>
      </w:r>
    </w:p>
    <w:p w:rsidR="00000000" w:rsidRPr="002A086A" w:rsidP="002A086A">
      <w:pPr>
        <w:pStyle w:val="ListBullet"/>
      </w:pPr>
      <w:r w:rsidRPr="002A086A">
        <w:t>exhibition stakeholders with whom the individual can consult and liaise with during the planning and operation of exhibitions and an exhibition operations team. These can be:</w:t>
      </w:r>
    </w:p>
    <w:p w:rsidR="00000000" w:rsidRPr="002A086A" w:rsidP="002A086A">
      <w:pPr>
        <w:pStyle w:val="ListBullet2"/>
      </w:pPr>
      <w:r w:rsidRPr="002A086A">
        <w:t>those in an industry workplace who are assisted by the individual during the ass</w:t>
      </w:r>
      <w:r w:rsidRPr="002A086A">
        <w:t>essment process; or</w:t>
      </w:r>
    </w:p>
    <w:p w:rsidR="00000000" w:rsidRPr="002A086A" w:rsidP="002A086A">
      <w:pPr>
        <w:pStyle w:val="ListBullet2"/>
      </w:pPr>
      <w:r w:rsidRPr="002A086A">
        <w:t>individuals who participate in role plays or simulated activities, set up for the purpose of assessment, in a simulated industry environment operated within a training organisation.</w:t>
      </w:r>
    </w:p>
    <w:p w:rsidR="00000000" w:rsidRPr="002A086A" w:rsidP="009B6646">
      <w:pPr>
        <w:pStyle w:val="BodyText"/>
      </w:pPr>
      <w:r w:rsidRPr="002A086A">
        <w:t>Assessors must satisfy the Standards for Registered Tr</w:t>
      </w:r>
      <w:r w:rsidRPr="002A086A">
        <w:t>aining Organisations’ requirements for assessors and have worked in industry for at least three years where they have applied the skills and knowledge of this unit of competency.</w:t>
      </w:r>
    </w:p>
    <w:p w:rsidR="00000000" w:rsidRPr="002A086A" w:rsidP="002A086A">
      <w:pPr>
        <w:pStyle w:val="Heading1"/>
      </w:pPr>
      <w:bookmarkStart w:id="14" w:name="O_1229116"/>
      <w:bookmarkEnd w:id="14"/>
      <w:r w:rsidRPr="002A086A">
        <w:t>Links</w:t>
      </w:r>
    </w:p>
    <w:p w:rsidR="00000000" w:rsidRPr="002A086A" w:rsidP="009B6646">
      <w:pPr>
        <w:pStyle w:val="BodyText"/>
      </w:pPr>
      <w:r w:rsidRPr="002A086A">
        <w:t xml:space="preserve">Companion Volume implementation guides are found in </w:t>
      </w:r>
      <w:r w:rsidRPr="002A086A">
        <w:t xml:space="preserve">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F65D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A086A" w:rsidP="002A086A"/>
    <w:sectPr w:rsidSect="002A08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6A" w:rsidRPr="009B6646" w:rsidP="009B6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46" w:rsidP="002A0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B6646" w:rsidP="002A0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6646" w:rsidP="002A08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6A" w:rsidP="002A0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6646">
      <w:t>Approved</w:t>
    </w:r>
    <w:r w:rsidR="009B66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664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6646">
      <w:rPr>
        <w:noProof/>
      </w:rPr>
      <w:t>6</w:t>
    </w:r>
    <w:r>
      <w:rPr>
        <w:noProof/>
      </w:rPr>
      <w:fldChar w:fldCharType="end"/>
    </w:r>
  </w:p>
  <w:p w:rsidR="002A086A" w:rsidP="002A0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66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6646">
      <w:t>Service and Creative Skills Australia</w:t>
    </w:r>
    <w:r w:rsidR="009B6646">
      <w:fldChar w:fldCharType="end"/>
    </w:r>
  </w:p>
  <w:p w:rsidR="002A086A" w:rsidP="002A0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86A" w:rsidRPr="009B6646" w:rsidP="009B6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46" w:rsidRPr="002D2AF8" w:rsidP="002A0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SITEEVT037 Recruit and manage exhibitors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6646" w:rsidP="002A08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6A" w:rsidRPr="002D2AF8" w:rsidP="002A0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6646">
      <w:t>SITEEVT037 Recruit and manage exhibitors</w:t>
    </w:r>
    <w:r w:rsidR="009B66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6646">
      <w:rPr>
        <w:noProof/>
      </w:rPr>
      <w:t>2 March 2025</w:t>
    </w:r>
    <w:r>
      <w:fldChar w:fldCharType="end"/>
    </w:r>
  </w:p>
  <w:p w:rsidR="002A086A" w:rsidP="002A0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D67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90A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E44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86A"/>
  </w:style>
  <w:style w:type="character" w:customStyle="1" w:styleId="Heading1Char">
    <w:name w:val="Heading 1 Char"/>
    <w:basedOn w:val="DefaultParagraphFont"/>
    <w:link w:val="Heading1"/>
    <w:rsid w:val="002A0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8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08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08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86A"/>
    <w:rPr>
      <w:b/>
      <w:spacing w:val="0"/>
    </w:rPr>
  </w:style>
  <w:style w:type="paragraph" w:styleId="ListBullet2">
    <w:name w:val="List Bullet 2"/>
    <w:basedOn w:val="List2"/>
    <w:rsid w:val="002A08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086A"/>
    <w:rPr>
      <w:i/>
    </w:rPr>
  </w:style>
  <w:style w:type="paragraph" w:customStyle="1" w:styleId="SuperHeading">
    <w:name w:val="SuperHeading"/>
    <w:basedOn w:val="Normal"/>
    <w:rsid w:val="002A0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8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0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8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0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86A"/>
  </w:style>
  <w:style w:type="paragraph" w:styleId="TableofFigures">
    <w:name w:val="table of figures"/>
    <w:basedOn w:val="Normal"/>
    <w:next w:val="Normal"/>
    <w:semiHidden/>
    <w:rsid w:val="002A0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8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086A"/>
    <w:rPr>
      <w:rFonts w:ascii="Wingdings" w:hAnsi="Wingdings"/>
    </w:rPr>
  </w:style>
  <w:style w:type="paragraph" w:customStyle="1" w:styleId="TableHeading">
    <w:name w:val="Table Heading"/>
    <w:basedOn w:val="HeadingBase"/>
    <w:rsid w:val="002A0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86A"/>
    <w:rPr>
      <w:color w:val="0033CC"/>
      <w:u w:val="none"/>
    </w:rPr>
  </w:style>
  <w:style w:type="paragraph" w:customStyle="1" w:styleId="BodyTextRight">
    <w:name w:val="Body Text Right"/>
    <w:basedOn w:val="BodyText"/>
    <w:rsid w:val="002A0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8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86A"/>
    <w:rPr>
      <w:sz w:val="32"/>
    </w:rPr>
  </w:style>
  <w:style w:type="paragraph" w:customStyle="1" w:styleId="HeadingProcedure">
    <w:name w:val="Heading Procedure"/>
    <w:basedOn w:val="HeadingBase"/>
    <w:next w:val="Normal"/>
    <w:rsid w:val="002A0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86A"/>
    <w:pPr>
      <w:spacing w:before="60" w:after="60"/>
    </w:pPr>
  </w:style>
  <w:style w:type="paragraph" w:styleId="ListContinue">
    <w:name w:val="List Continue"/>
    <w:basedOn w:val="List"/>
    <w:rsid w:val="002A086A"/>
    <w:pPr>
      <w:ind w:firstLine="0"/>
    </w:pPr>
  </w:style>
  <w:style w:type="paragraph" w:customStyle="1" w:styleId="ListNote">
    <w:name w:val="List Note"/>
    <w:basedOn w:val="List"/>
    <w:rsid w:val="002A0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86A"/>
    <w:rPr>
      <w:rFonts w:ascii="Courier New" w:hAnsi="Courier New"/>
    </w:rPr>
  </w:style>
  <w:style w:type="paragraph" w:customStyle="1" w:styleId="NoteBullet">
    <w:name w:val="Note Bullet"/>
    <w:basedOn w:val="Note"/>
    <w:rsid w:val="002A0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8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86A"/>
    <w:rPr>
      <w:b/>
      <w:smallCaps/>
    </w:rPr>
  </w:style>
  <w:style w:type="paragraph" w:customStyle="1" w:styleId="TableListNumber">
    <w:name w:val="Table List Number"/>
    <w:basedOn w:val="ListNumber"/>
    <w:rsid w:val="002A0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86A"/>
    <w:pPr>
      <w:numPr>
        <w:numId w:val="9"/>
      </w:numPr>
    </w:pPr>
  </w:style>
  <w:style w:type="paragraph" w:customStyle="1" w:styleId="ListAlpha2">
    <w:name w:val="List Alpha 2"/>
    <w:basedOn w:val="List2"/>
    <w:rsid w:val="002A086A"/>
    <w:pPr>
      <w:numPr>
        <w:numId w:val="8"/>
      </w:numPr>
    </w:pPr>
  </w:style>
  <w:style w:type="paragraph" w:styleId="List2">
    <w:name w:val="List 2"/>
    <w:basedOn w:val="BodyText"/>
    <w:rsid w:val="002A0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8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8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086A"/>
    <w:pPr>
      <w:numPr>
        <w:numId w:val="4"/>
      </w:numPr>
    </w:pPr>
  </w:style>
  <w:style w:type="paragraph" w:styleId="ListContinue2">
    <w:name w:val="List Continue 2"/>
    <w:basedOn w:val="List2"/>
    <w:rsid w:val="002A086A"/>
    <w:pPr>
      <w:ind w:firstLine="0"/>
    </w:pPr>
  </w:style>
  <w:style w:type="paragraph" w:styleId="ListContinue3">
    <w:name w:val="List Continue 3"/>
    <w:basedOn w:val="List3"/>
    <w:rsid w:val="002A086A"/>
    <w:pPr>
      <w:ind w:left="1021" w:firstLine="0"/>
    </w:pPr>
  </w:style>
  <w:style w:type="paragraph" w:styleId="ListContinue4">
    <w:name w:val="List Continue 4"/>
    <w:basedOn w:val="List4"/>
    <w:rsid w:val="002A086A"/>
    <w:pPr>
      <w:ind w:firstLine="0"/>
    </w:pPr>
  </w:style>
  <w:style w:type="paragraph" w:styleId="ListContinue5">
    <w:name w:val="List Continue 5"/>
    <w:basedOn w:val="List5"/>
    <w:rsid w:val="002A086A"/>
    <w:pPr>
      <w:ind w:firstLine="0"/>
    </w:pPr>
  </w:style>
  <w:style w:type="paragraph" w:styleId="ListNumber3">
    <w:name w:val="List Number 3"/>
    <w:basedOn w:val="List3"/>
    <w:rsid w:val="002A086A"/>
    <w:pPr>
      <w:numPr>
        <w:numId w:val="5"/>
      </w:numPr>
    </w:pPr>
  </w:style>
  <w:style w:type="paragraph" w:styleId="ListNumber4">
    <w:name w:val="List Number 4"/>
    <w:basedOn w:val="List4"/>
    <w:rsid w:val="002A086A"/>
    <w:pPr>
      <w:numPr>
        <w:numId w:val="6"/>
      </w:numPr>
    </w:pPr>
  </w:style>
  <w:style w:type="paragraph" w:styleId="ListNumber5">
    <w:name w:val="List Number 5"/>
    <w:basedOn w:val="List5"/>
    <w:rsid w:val="002A086A"/>
    <w:pPr>
      <w:numPr>
        <w:numId w:val="7"/>
      </w:numPr>
    </w:pPr>
  </w:style>
  <w:style w:type="paragraph" w:styleId="BlockText">
    <w:name w:val="Block Text"/>
    <w:basedOn w:val="Normal"/>
    <w:rsid w:val="002A0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86A"/>
    <w:rPr>
      <w:sz w:val="16"/>
      <w:vertAlign w:val="superscript"/>
    </w:rPr>
  </w:style>
  <w:style w:type="character" w:customStyle="1" w:styleId="Symbols">
    <w:name w:val="Symbols"/>
    <w:basedOn w:val="DefaultParagraphFont"/>
    <w:rsid w:val="002A086A"/>
    <w:rPr>
      <w:rFonts w:ascii="Symbol" w:hAnsi="Symbol"/>
    </w:rPr>
  </w:style>
  <w:style w:type="character" w:customStyle="1" w:styleId="MenuOptions">
    <w:name w:val="Menu Options"/>
    <w:basedOn w:val="DefaultParagraphFont"/>
    <w:rsid w:val="002A0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86A"/>
    <w:rPr>
      <w:b/>
    </w:rPr>
  </w:style>
  <w:style w:type="character" w:customStyle="1" w:styleId="Underlined">
    <w:name w:val="Underlined"/>
    <w:basedOn w:val="DefaultParagraphFont"/>
    <w:rsid w:val="002A086A"/>
    <w:rPr>
      <w:u w:val="single"/>
    </w:rPr>
  </w:style>
  <w:style w:type="paragraph" w:customStyle="1" w:styleId="TableBodyTextRight">
    <w:name w:val="Table Body Text Right"/>
    <w:basedOn w:val="TableBodyText"/>
    <w:rsid w:val="002A0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86A"/>
    <w:rPr>
      <w:sz w:val="18"/>
    </w:rPr>
  </w:style>
  <w:style w:type="paragraph" w:customStyle="1" w:styleId="BodySmallRight">
    <w:name w:val="Body Small Right"/>
    <w:basedOn w:val="BodyTextRight"/>
    <w:rsid w:val="002A086A"/>
    <w:rPr>
      <w:sz w:val="18"/>
      <w:szCs w:val="18"/>
    </w:rPr>
  </w:style>
  <w:style w:type="paragraph" w:customStyle="1" w:styleId="MarginEdition">
    <w:name w:val="Margin Edition"/>
    <w:basedOn w:val="MarginNote"/>
    <w:rsid w:val="002A0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86A"/>
    <w:rPr>
      <w:sz w:val="2"/>
      <w:szCs w:val="2"/>
    </w:rPr>
  </w:style>
  <w:style w:type="character" w:customStyle="1" w:styleId="Small">
    <w:name w:val="Small"/>
    <w:basedOn w:val="DefaultParagraphFont"/>
    <w:rsid w:val="002A086A"/>
    <w:rPr>
      <w:sz w:val="16"/>
    </w:rPr>
  </w:style>
  <w:style w:type="paragraph" w:customStyle="1" w:styleId="WideTable">
    <w:name w:val="Wide Table"/>
    <w:basedOn w:val="Normal"/>
    <w:rsid w:val="002A0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86A"/>
  </w:style>
  <w:style w:type="paragraph" w:styleId="Quote">
    <w:name w:val="Quote"/>
    <w:basedOn w:val="Heading1"/>
    <w:link w:val="QuoteChar"/>
    <w:qFormat/>
    <w:rsid w:val="002A0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86A"/>
    <w:pPr>
      <w:pageBreakBefore/>
    </w:pPr>
  </w:style>
  <w:style w:type="paragraph" w:customStyle="1" w:styleId="Border">
    <w:name w:val="Border"/>
    <w:basedOn w:val="Normal"/>
    <w:qFormat/>
    <w:rsid w:val="002A0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86A"/>
    <w:rPr>
      <w:u w:val="single"/>
    </w:rPr>
  </w:style>
  <w:style w:type="character" w:customStyle="1" w:styleId="BoldandItalics">
    <w:name w:val="Bold and Italics"/>
    <w:qFormat/>
    <w:rsid w:val="002A086A"/>
    <w:rPr>
      <w:b/>
      <w:i/>
      <w:u w:val="none"/>
    </w:rPr>
  </w:style>
  <w:style w:type="paragraph" w:styleId="BalloonText">
    <w:name w:val="Balloon Text"/>
    <w:basedOn w:val="Normal"/>
    <w:link w:val="BalloonTextChar"/>
    <w:rsid w:val="002A0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86A"/>
    <w:pPr>
      <w:spacing w:before="0" w:after="0"/>
    </w:pPr>
  </w:style>
  <w:style w:type="paragraph" w:customStyle="1" w:styleId="BodyTextBold">
    <w:name w:val="Body Text Bold"/>
    <w:basedOn w:val="BodyText"/>
    <w:qFormat/>
    <w:rsid w:val="002A086A"/>
    <w:rPr>
      <w:b/>
    </w:rPr>
  </w:style>
  <w:style w:type="character" w:styleId="Hyperlink">
    <w:name w:val="Hyperlink"/>
    <w:basedOn w:val="DefaultParagraphFont"/>
    <w:uiPriority w:val="99"/>
    <w:unhideWhenUsed/>
    <w:rsid w:val="009B6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1185</Words>
  <Characters>8018</Characters>
  <Application>Microsoft Office Word</Application>
  <DocSecurity>0</DocSecurity>
  <Lines>242</Lines>
  <Paragraphs>180</Paragraphs>
  <ScaleCrop>false</ScaleCrop>
  <Company>Author-it Software Corporation Ltd.</Company>
  <LinksUpToDate>false</LinksUpToDate>
  <CharactersWithSpaces>9023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SITEEVT037 Recruit and manage exhibitors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2025-03-01T22:05:00Z</dcterms:created>
  <dcterms:modified xsi:type="dcterms:W3CDTF">2025-03-01T22:05:00Z</dcterms:modified>
</cp:coreProperties>
</file>