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13D" w:rsidP="00DA1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SITEEVT036 Plan and allocate exhibition space</w:t>
      </w:r>
      <w:r>
        <w:fldChar w:fldCharType="end"/>
      </w:r>
    </w:p>
    <w:p w:rsidR="00DA113D" w:rsidP="00DA113D">
      <w:pPr>
        <w:pStyle w:val="Version"/>
        <w:sectPr w:rsidSect="00EE3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466" w:rsidP="00EE3466">
      <w:pPr>
        <w:pStyle w:val="SuperHeading"/>
      </w:pPr>
      <w:r w:rsidRPr="00EE3466">
        <w:t>Assessment Requirements for SITEEVT036 Plan and allocate exhibition space</w:t>
      </w:r>
    </w:p>
    <w:p w:rsidR="00000000" w:rsidRPr="00EE3466" w:rsidP="00EE3466">
      <w:pPr>
        <w:pStyle w:val="Heading1"/>
      </w:pPr>
      <w:bookmarkStart w:id="1" w:name="O_1229099"/>
      <w:bookmarkEnd w:id="1"/>
      <w:r w:rsidRPr="00EE3466">
        <w:t>Modification History</w:t>
      </w:r>
    </w:p>
    <w:p w:rsidR="00000000" w:rsidRPr="00EE3466" w:rsidP="00DA113D">
      <w:pPr>
        <w:pStyle w:val="BodyText"/>
      </w:pPr>
      <w:r w:rsidRPr="00EE3466">
        <w:t>Not applicable.</w:t>
      </w:r>
    </w:p>
    <w:p w:rsidR="00000000" w:rsidRPr="00EE3466" w:rsidP="00EE3466">
      <w:pPr>
        <w:pStyle w:val="Heading1"/>
      </w:pPr>
      <w:bookmarkStart w:id="2" w:name="O_1229102"/>
      <w:bookmarkEnd w:id="2"/>
      <w:r w:rsidRPr="00EE3466">
        <w:t>Performance Evidence</w:t>
      </w:r>
    </w:p>
    <w:p w:rsidR="00000000" w:rsidRPr="00EE3466" w:rsidP="00DA113D">
      <w:pPr>
        <w:pStyle w:val="BodyText"/>
      </w:pPr>
      <w:r w:rsidRPr="00EE3466">
        <w:t xml:space="preserve">Evidence of the ability to complete </w:t>
      </w:r>
      <w:r w:rsidRPr="00EE3466">
        <w:t>tasks outlined in elements and performance criteria of this unit in the context of the job role, and:</w:t>
      </w:r>
    </w:p>
    <w:p w:rsidR="00000000" w:rsidRPr="00EE3466" w:rsidP="00EE3466">
      <w:pPr>
        <w:pStyle w:val="ListBullet"/>
      </w:pPr>
      <w:r w:rsidRPr="00EE3466">
        <w:t>consult with stakeholders to develop exhibition operational requirements for at least one exhibition</w:t>
      </w:r>
    </w:p>
    <w:p w:rsidR="00000000" w:rsidRPr="00EE3466" w:rsidP="00EE3466">
      <w:pPr>
        <w:pStyle w:val="ListBullet"/>
      </w:pPr>
      <w:r w:rsidRPr="00EE3466">
        <w:t>document the following details of the operational re</w:t>
      </w:r>
      <w:r w:rsidRPr="00EE3466">
        <w:t>quirements for the above exhibition:</w:t>
      </w:r>
    </w:p>
    <w:p w:rsidR="00000000" w:rsidRPr="00EE3466" w:rsidP="00EE3466">
      <w:pPr>
        <w:pStyle w:val="ListBullet2"/>
      </w:pPr>
      <w:r w:rsidRPr="00EE3466">
        <w:t>entertainment</w:t>
      </w:r>
    </w:p>
    <w:p w:rsidR="00000000" w:rsidRPr="00EE3466" w:rsidP="00EE3466">
      <w:pPr>
        <w:pStyle w:val="ListBullet2"/>
      </w:pPr>
      <w:r w:rsidRPr="00EE3466">
        <w:t>crowd control</w:t>
      </w:r>
    </w:p>
    <w:p w:rsidR="00000000" w:rsidRPr="00EE3466" w:rsidP="00EE3466">
      <w:pPr>
        <w:pStyle w:val="ListBullet2"/>
      </w:pPr>
      <w:r w:rsidRPr="00EE3466">
        <w:t>food and beverage outlets</w:t>
      </w:r>
    </w:p>
    <w:p w:rsidR="00000000" w:rsidRPr="00EE3466" w:rsidP="00EE3466">
      <w:pPr>
        <w:pStyle w:val="ListBullet2"/>
      </w:pPr>
      <w:r w:rsidRPr="00EE3466">
        <w:t>format, style and duration of exhibition</w:t>
      </w:r>
    </w:p>
    <w:p w:rsidR="00000000" w:rsidRPr="00EE3466" w:rsidP="00EE3466">
      <w:pPr>
        <w:pStyle w:val="ListBullet2"/>
      </w:pPr>
      <w:r w:rsidRPr="00EE3466">
        <w:t>infrastructure</w:t>
      </w:r>
    </w:p>
    <w:p w:rsidR="00000000" w:rsidRPr="00EE3466" w:rsidP="00EE3466">
      <w:pPr>
        <w:pStyle w:val="ListBullet2"/>
      </w:pPr>
      <w:r w:rsidRPr="00EE3466">
        <w:t>exhibition program</w:t>
      </w:r>
    </w:p>
    <w:p w:rsidR="00000000" w:rsidRPr="00EE3466" w:rsidP="00EE3466">
      <w:pPr>
        <w:pStyle w:val="ListBullet2"/>
      </w:pPr>
      <w:r w:rsidRPr="00EE3466">
        <w:t>minimum and maximum numbers of exhibitors</w:t>
      </w:r>
    </w:p>
    <w:p w:rsidR="00000000" w:rsidRPr="00EE3466" w:rsidP="00EE3466">
      <w:pPr>
        <w:pStyle w:val="ListBullet2"/>
      </w:pPr>
      <w:r w:rsidRPr="00EE3466">
        <w:t>on-site registration of attendees</w:t>
      </w:r>
    </w:p>
    <w:p w:rsidR="00000000" w:rsidRPr="00EE3466" w:rsidP="00EE3466">
      <w:pPr>
        <w:pStyle w:val="ListBullet2"/>
      </w:pPr>
      <w:r w:rsidRPr="00EE3466">
        <w:t>security</w:t>
      </w:r>
    </w:p>
    <w:p w:rsidR="00000000" w:rsidRPr="00EE3466" w:rsidP="00EE3466">
      <w:pPr>
        <w:pStyle w:val="ListBullet2"/>
      </w:pPr>
      <w:r w:rsidRPr="00EE3466">
        <w:t>size and set-up of:</w:t>
      </w:r>
    </w:p>
    <w:p w:rsidR="00000000" w:rsidRPr="00EE3466" w:rsidP="00EE3466">
      <w:pPr>
        <w:pStyle w:val="ListBullet3"/>
      </w:pPr>
      <w:r w:rsidRPr="00EE3466">
        <w:t>client displays and livery</w:t>
      </w:r>
    </w:p>
    <w:p w:rsidR="00000000" w:rsidRPr="00EE3466" w:rsidP="00EE3466">
      <w:pPr>
        <w:pStyle w:val="ListBullet3"/>
      </w:pPr>
      <w:r w:rsidRPr="00EE3466">
        <w:t>exhibitor stands</w:t>
      </w:r>
    </w:p>
    <w:p w:rsidR="00000000" w:rsidRPr="00EE3466" w:rsidP="00EE3466">
      <w:pPr>
        <w:pStyle w:val="ListBullet3"/>
      </w:pPr>
      <w:r w:rsidRPr="00EE3466">
        <w:t>merchandising stands</w:t>
      </w:r>
    </w:p>
    <w:p w:rsidR="00000000" w:rsidRPr="00EE3466" w:rsidP="00EE3466">
      <w:pPr>
        <w:pStyle w:val="ListBullet3"/>
      </w:pPr>
      <w:r w:rsidRPr="00EE3466">
        <w:t>sponsor stands</w:t>
      </w:r>
    </w:p>
    <w:p w:rsidR="00000000" w:rsidRPr="00EE3466" w:rsidP="00EE3466">
      <w:pPr>
        <w:pStyle w:val="ListBullet3"/>
      </w:pPr>
      <w:r w:rsidRPr="00EE3466">
        <w:t>seating</w:t>
      </w:r>
    </w:p>
    <w:p w:rsidR="00000000" w:rsidRPr="00EE3466" w:rsidP="00EE3466">
      <w:pPr>
        <w:pStyle w:val="ListBullet3"/>
      </w:pPr>
      <w:r w:rsidRPr="00EE3466">
        <w:t>tables</w:t>
      </w:r>
    </w:p>
    <w:p w:rsidR="00000000" w:rsidRPr="00EE3466" w:rsidP="00EE3466">
      <w:pPr>
        <w:pStyle w:val="ListBullet2"/>
      </w:pPr>
      <w:r w:rsidRPr="00EE3466">
        <w:t>technical equipment and services</w:t>
      </w:r>
    </w:p>
    <w:p w:rsidR="00000000" w:rsidRPr="00EE3466" w:rsidP="00EE3466">
      <w:pPr>
        <w:pStyle w:val="ListBullet2"/>
      </w:pPr>
      <w:r w:rsidRPr="00EE3466">
        <w:t>venue styling</w:t>
      </w:r>
    </w:p>
    <w:p w:rsidR="00000000" w:rsidRPr="00EE3466" w:rsidP="00EE3466">
      <w:pPr>
        <w:pStyle w:val="ListBullet"/>
      </w:pPr>
      <w:r w:rsidRPr="00EE3466">
        <w:t>develop floor plan for the above exhibition with pre-allocated space for the ancillary serv</w:t>
      </w:r>
      <w:r w:rsidRPr="00EE3466">
        <w:t>ices listed in the knowledge evidence</w:t>
      </w:r>
    </w:p>
    <w:p w:rsidR="00000000" w:rsidRPr="00EE3466" w:rsidP="00EE3466">
      <w:pPr>
        <w:pStyle w:val="ListBullet"/>
      </w:pPr>
      <w:r w:rsidRPr="00EE3466">
        <w:t>analyse of the following in developing the above floor plan:</w:t>
      </w:r>
    </w:p>
    <w:p w:rsidR="00000000" w:rsidRPr="00EE3466" w:rsidP="00EE3466">
      <w:pPr>
        <w:pStyle w:val="ListBullet2"/>
      </w:pPr>
      <w:r w:rsidRPr="00EE3466">
        <w:t>access limitations</w:t>
      </w:r>
    </w:p>
    <w:p w:rsidR="00000000" w:rsidRPr="00EE3466" w:rsidP="00EE3466">
      <w:pPr>
        <w:pStyle w:val="ListBullet2"/>
      </w:pPr>
      <w:r w:rsidRPr="00EE3466">
        <w:t>food safety requirements</w:t>
      </w:r>
    </w:p>
    <w:p w:rsidR="00000000" w:rsidRPr="00EE3466" w:rsidP="00EE3466">
      <w:pPr>
        <w:pStyle w:val="ListBullet2"/>
      </w:pPr>
      <w:r w:rsidRPr="00EE3466">
        <w:t>noise</w:t>
      </w:r>
    </w:p>
    <w:p w:rsidR="00000000" w:rsidRPr="00EE3466" w:rsidP="00EE3466">
      <w:pPr>
        <w:pStyle w:val="ListBullet2"/>
      </w:pPr>
      <w:r w:rsidRPr="00EE3466">
        <w:t>spacing of exhibition stands and visitor traffic areas to avoid overcrowding</w:t>
      </w:r>
    </w:p>
    <w:p w:rsidR="00000000" w:rsidRPr="00EE3466" w:rsidP="00EE3466">
      <w:pPr>
        <w:pStyle w:val="ListBullet2"/>
      </w:pPr>
      <w:r w:rsidRPr="00EE3466">
        <w:t>protection from weather</w:t>
      </w:r>
    </w:p>
    <w:p w:rsidR="00000000" w:rsidRPr="00EE3466" w:rsidP="00EE3466">
      <w:pPr>
        <w:pStyle w:val="ListBullet2"/>
      </w:pPr>
      <w:r w:rsidRPr="00EE3466">
        <w:t>access to safe cabling and power sources</w:t>
      </w:r>
    </w:p>
    <w:p w:rsidR="00000000" w:rsidRPr="00EE3466" w:rsidP="00EE3466">
      <w:pPr>
        <w:pStyle w:val="ListBullet2"/>
      </w:pPr>
      <w:r w:rsidRPr="00EE3466">
        <w:t>theft prevention measures</w:t>
      </w:r>
    </w:p>
    <w:p w:rsidR="00000000" w:rsidRPr="00EE3466" w:rsidP="00EE3466">
      <w:pPr>
        <w:pStyle w:val="ListBullet"/>
      </w:pPr>
      <w:r w:rsidRPr="00EE3466">
        <w:t>apply evaluation criteria and seek feedback on the above exhibition, covering:</w:t>
      </w:r>
    </w:p>
    <w:p w:rsidR="00000000" w:rsidRPr="00EE3466" w:rsidP="00EE3466">
      <w:pPr>
        <w:pStyle w:val="ListBullet2"/>
      </w:pPr>
      <w:r w:rsidRPr="00EE3466">
        <w:t>exhibitor, buyer and sponsor success</w:t>
      </w:r>
    </w:p>
    <w:p w:rsidR="00000000" w:rsidRPr="00EE3466" w:rsidP="00EE3466">
      <w:pPr>
        <w:pStyle w:val="ListBullet2"/>
      </w:pPr>
      <w:r w:rsidRPr="00EE3466">
        <w:t>number of attending buyers</w:t>
      </w:r>
    </w:p>
    <w:p w:rsidR="00000000" w:rsidRPr="00EE3466" w:rsidP="00EE3466">
      <w:pPr>
        <w:pStyle w:val="ListBullet2"/>
      </w:pPr>
      <w:r w:rsidRPr="00EE3466">
        <w:t>operational efficiency</w:t>
      </w:r>
    </w:p>
    <w:p w:rsidR="00000000" w:rsidRPr="00EE3466" w:rsidP="00EE3466">
      <w:pPr>
        <w:pStyle w:val="ListBullet2"/>
      </w:pPr>
      <w:r w:rsidRPr="00EE3466">
        <w:t>success in meeting ex</w:t>
      </w:r>
      <w:r w:rsidRPr="00EE3466">
        <w:t>hibition objectives</w:t>
      </w:r>
    </w:p>
    <w:p w:rsidR="00000000" w:rsidRPr="00EE3466" w:rsidP="00EE3466">
      <w:pPr>
        <w:pStyle w:val="ListBullet2"/>
      </w:pPr>
      <w:r w:rsidRPr="00EE3466">
        <w:t>profitability of the exhibition</w:t>
      </w:r>
    </w:p>
    <w:p w:rsidR="00000000" w:rsidRPr="00EE3466" w:rsidP="00EE3466">
      <w:pPr>
        <w:pStyle w:val="ListBullet2"/>
      </w:pPr>
      <w:r w:rsidRPr="00EE3466">
        <w:t>venue service levels.</w:t>
      </w:r>
    </w:p>
    <w:p w:rsidR="00000000" w:rsidRPr="00EE3466" w:rsidP="00EE3466">
      <w:pPr>
        <w:pStyle w:val="AllowPageBreak"/>
      </w:pPr>
    </w:p>
    <w:p w:rsidR="00000000" w:rsidRPr="00EE3466" w:rsidP="00EE3466">
      <w:pPr>
        <w:pStyle w:val="Heading1"/>
      </w:pPr>
      <w:bookmarkStart w:id="3" w:name="O_1229101"/>
      <w:bookmarkEnd w:id="3"/>
      <w:r w:rsidRPr="00EE3466">
        <w:t>Knowledge Evidence</w:t>
      </w:r>
    </w:p>
    <w:p w:rsidR="00000000" w:rsidRPr="00EE3466" w:rsidP="00DA113D">
      <w:pPr>
        <w:pStyle w:val="BodyText"/>
      </w:pPr>
      <w:r w:rsidRPr="00EE3466">
        <w:t>Demonstrated knowledge required to complete the tasks outlined in elements and performance criteria of this unit:</w:t>
      </w:r>
    </w:p>
    <w:p w:rsidR="00000000" w:rsidRPr="00EE3466" w:rsidP="00EE3466">
      <w:pPr>
        <w:pStyle w:val="ListBullet"/>
      </w:pPr>
      <w:r w:rsidRPr="00EE3466">
        <w:t>characteristics, purpose and objectives of different types of exhibitions:</w:t>
      </w:r>
    </w:p>
    <w:p w:rsidR="00000000" w:rsidRPr="00EE3466" w:rsidP="00EE3466">
      <w:pPr>
        <w:pStyle w:val="ListBullet2"/>
      </w:pPr>
      <w:r w:rsidRPr="00EE3466">
        <w:t>trade or industry</w:t>
      </w:r>
    </w:p>
    <w:p w:rsidR="00000000" w:rsidRPr="00EE3466" w:rsidP="00EE3466">
      <w:pPr>
        <w:pStyle w:val="ListBullet2"/>
      </w:pPr>
      <w:r w:rsidRPr="00EE3466">
        <w:t>consumer</w:t>
      </w:r>
    </w:p>
    <w:p w:rsidR="00000000" w:rsidRPr="00EE3466" w:rsidP="00EE3466">
      <w:pPr>
        <w:pStyle w:val="ListBullet2"/>
      </w:pPr>
      <w:r w:rsidRPr="00EE3466">
        <w:t>commercial</w:t>
      </w:r>
    </w:p>
    <w:p w:rsidR="00000000" w:rsidRPr="00EE3466" w:rsidP="00EE3466">
      <w:pPr>
        <w:pStyle w:val="ListBullet2"/>
      </w:pPr>
      <w:r w:rsidRPr="00EE3466">
        <w:t>non-commercial</w:t>
      </w:r>
    </w:p>
    <w:p w:rsidR="00000000" w:rsidRPr="00EE3466" w:rsidP="00EE3466">
      <w:pPr>
        <w:pStyle w:val="ListBullet"/>
      </w:pPr>
      <w:r w:rsidRPr="00EE3466">
        <w:t>roles, responsibilities and hierarchy of control of different stakeholders in the exhibition planning process</w:t>
      </w:r>
    </w:p>
    <w:p w:rsidR="00000000" w:rsidRPr="00EE3466" w:rsidP="00EE3466">
      <w:pPr>
        <w:pStyle w:val="ListBullet"/>
      </w:pPr>
      <w:r w:rsidRPr="00EE3466">
        <w:t>spatial design t</w:t>
      </w:r>
      <w:r w:rsidRPr="00EE3466">
        <w:t>echniques for maximising exhibitor space and profitability</w:t>
      </w:r>
    </w:p>
    <w:p w:rsidR="00000000" w:rsidRPr="00EE3466" w:rsidP="00EE3466">
      <w:pPr>
        <w:pStyle w:val="ListBullet"/>
      </w:pPr>
      <w:r w:rsidRPr="00EE3466">
        <w:t>safety, security and environmental risks associated with events, and methods of managing them when designing exhibition floor plans</w:t>
      </w:r>
    </w:p>
    <w:p w:rsidR="00000000" w:rsidRPr="00EE3466" w:rsidP="00EE3466">
      <w:pPr>
        <w:pStyle w:val="ListBullet"/>
      </w:pPr>
      <w:r w:rsidRPr="00EE3466">
        <w:t>induction requirements applicable to venue or event</w:t>
      </w:r>
    </w:p>
    <w:p w:rsidR="00000000" w:rsidRPr="00EE3466" w:rsidP="00EE3466">
      <w:pPr>
        <w:pStyle w:val="ListBullet"/>
      </w:pPr>
      <w:r w:rsidRPr="00EE3466">
        <w:t>buyer and sel</w:t>
      </w:r>
      <w:r w:rsidRPr="00EE3466">
        <w:t>ler interaction formats and methods to incorporate requirements into exhibition floor plans, covering:</w:t>
      </w:r>
    </w:p>
    <w:p w:rsidR="00000000" w:rsidRPr="00EE3466" w:rsidP="00EE3466">
      <w:pPr>
        <w:pStyle w:val="ListBullet2"/>
      </w:pPr>
      <w:r w:rsidRPr="00EE3466">
        <w:t>free flow</w:t>
      </w:r>
    </w:p>
    <w:p w:rsidR="00000000" w:rsidRPr="00EE3466" w:rsidP="00EE3466">
      <w:pPr>
        <w:pStyle w:val="ListBullet2"/>
      </w:pPr>
      <w:r w:rsidRPr="00EE3466">
        <w:t>prearranged appointments</w:t>
      </w:r>
    </w:p>
    <w:p w:rsidR="00000000" w:rsidRPr="00EE3466" w:rsidP="00EE3466">
      <w:pPr>
        <w:pStyle w:val="ListBullet2"/>
      </w:pPr>
      <w:r w:rsidRPr="00EE3466">
        <w:t>scheduled presentations and promotions</w:t>
      </w:r>
    </w:p>
    <w:p w:rsidR="00000000" w:rsidRPr="00EE3466" w:rsidP="00EE3466">
      <w:pPr>
        <w:pStyle w:val="ListBullet"/>
      </w:pPr>
      <w:r w:rsidRPr="00EE3466">
        <w:t>formats for and inclusions in exhibition floor plans</w:t>
      </w:r>
    </w:p>
    <w:p w:rsidR="00000000" w:rsidRPr="00EE3466" w:rsidP="00EE3466">
      <w:pPr>
        <w:pStyle w:val="ListBullet"/>
      </w:pPr>
      <w:r w:rsidRPr="00EE3466">
        <w:t>criteria for allocating space to exhibitions:</w:t>
      </w:r>
    </w:p>
    <w:p w:rsidR="00000000" w:rsidRPr="00EE3466" w:rsidP="00EE3466">
      <w:pPr>
        <w:pStyle w:val="ListBullet2"/>
      </w:pPr>
      <w:r w:rsidRPr="00EE3466">
        <w:t>anticipated consumer demand for exhibitor products and services</w:t>
      </w:r>
    </w:p>
    <w:p w:rsidR="00000000" w:rsidRPr="00EE3466" w:rsidP="00EE3466">
      <w:pPr>
        <w:pStyle w:val="ListBullet2"/>
      </w:pPr>
      <w:r w:rsidRPr="00EE3466">
        <w:t>exhibition themes</w:t>
      </w:r>
    </w:p>
    <w:p w:rsidR="00000000" w:rsidRPr="00EE3466" w:rsidP="00EE3466">
      <w:pPr>
        <w:pStyle w:val="ListBullet2"/>
      </w:pPr>
      <w:r w:rsidRPr="00EE3466">
        <w:t>exhibitor or sponsor participation level</w:t>
      </w:r>
    </w:p>
    <w:p w:rsidR="00000000" w:rsidRPr="00EE3466" w:rsidP="00EE3466">
      <w:pPr>
        <w:pStyle w:val="ListBullet2"/>
      </w:pPr>
      <w:r w:rsidRPr="00EE3466">
        <w:t>proximity of:</w:t>
      </w:r>
    </w:p>
    <w:p w:rsidR="00000000" w:rsidRPr="00EE3466" w:rsidP="00EE3466">
      <w:pPr>
        <w:pStyle w:val="ListBullet3"/>
      </w:pPr>
      <w:r w:rsidRPr="00EE3466">
        <w:t>equipment required by different exhibitors</w:t>
      </w:r>
    </w:p>
    <w:p w:rsidR="00000000" w:rsidRPr="00EE3466" w:rsidP="00EE3466">
      <w:pPr>
        <w:pStyle w:val="ListBullet3"/>
      </w:pPr>
      <w:r w:rsidRPr="00EE3466">
        <w:t>exhibitors in direct competition</w:t>
      </w:r>
    </w:p>
    <w:p w:rsidR="00000000" w:rsidRPr="00EE3466" w:rsidP="00EE3466">
      <w:pPr>
        <w:pStyle w:val="ListBullet2"/>
      </w:pPr>
      <w:r w:rsidRPr="00EE3466">
        <w:t>required balance and variety of exhibitors</w:t>
      </w:r>
    </w:p>
    <w:p w:rsidR="00000000" w:rsidRPr="00EE3466" w:rsidP="00EE3466">
      <w:pPr>
        <w:pStyle w:val="ListBullet2"/>
      </w:pPr>
      <w:r w:rsidRPr="00EE3466">
        <w:t>size of products to be exhibited</w:t>
      </w:r>
    </w:p>
    <w:p w:rsidR="00000000" w:rsidRPr="00EE3466" w:rsidP="00EE3466">
      <w:pPr>
        <w:pStyle w:val="ListBullet"/>
      </w:pPr>
      <w:r w:rsidRPr="00EE3466">
        <w:t>for specific industry sector:</w:t>
      </w:r>
    </w:p>
    <w:p w:rsidR="00000000" w:rsidRPr="00EE3466" w:rsidP="00EE3466">
      <w:pPr>
        <w:pStyle w:val="ListBullet2"/>
      </w:pPr>
      <w:r w:rsidRPr="00EE3466">
        <w:t>overall exhibition layout themes and schemas</w:t>
      </w:r>
    </w:p>
    <w:p w:rsidR="00000000" w:rsidRPr="00EE3466" w:rsidP="00EE3466">
      <w:pPr>
        <w:pStyle w:val="ListBullet2"/>
      </w:pPr>
      <w:r w:rsidRPr="00EE3466">
        <w:t>exhibitor formats and sizes to meet different exhibitor requirements</w:t>
      </w:r>
    </w:p>
    <w:p w:rsidR="00000000" w:rsidRPr="00EE3466" w:rsidP="00EE3466">
      <w:pPr>
        <w:pStyle w:val="ListBullet"/>
      </w:pPr>
      <w:r w:rsidRPr="00EE3466">
        <w:t>key features and functions of ancillary exhibition services at exhibition venues:</w:t>
      </w:r>
    </w:p>
    <w:p w:rsidR="00000000" w:rsidRPr="00EE3466" w:rsidP="00EE3466">
      <w:pPr>
        <w:pStyle w:val="ListBullet2"/>
      </w:pPr>
      <w:r w:rsidRPr="00EE3466">
        <w:t>attendee seating for consumption of food and beverage</w:t>
      </w:r>
    </w:p>
    <w:p w:rsidR="00000000" w:rsidRPr="00EE3466" w:rsidP="00EE3466">
      <w:pPr>
        <w:pStyle w:val="ListBullet2"/>
      </w:pPr>
      <w:r w:rsidRPr="00EE3466">
        <w:t>business and communication hubs</w:t>
      </w:r>
    </w:p>
    <w:p w:rsidR="00000000" w:rsidRPr="00EE3466" w:rsidP="00EE3466">
      <w:pPr>
        <w:pStyle w:val="ListBullet2"/>
      </w:pPr>
      <w:r w:rsidRPr="00EE3466">
        <w:t>entertainment stages</w:t>
      </w:r>
    </w:p>
    <w:p w:rsidR="00000000" w:rsidRPr="00EE3466" w:rsidP="00EE3466">
      <w:pPr>
        <w:pStyle w:val="ListBullet2"/>
      </w:pPr>
      <w:r w:rsidRPr="00EE3466">
        <w:t>food and beverage outlets</w:t>
      </w:r>
    </w:p>
    <w:p w:rsidR="00000000" w:rsidRPr="00EE3466" w:rsidP="00EE3466">
      <w:pPr>
        <w:pStyle w:val="ListBullet2"/>
      </w:pPr>
      <w:r w:rsidRPr="00EE3466">
        <w:t>food storage and preparation areas</w:t>
      </w:r>
    </w:p>
    <w:p w:rsidR="00000000" w:rsidRPr="00EE3466" w:rsidP="00EE3466">
      <w:pPr>
        <w:pStyle w:val="ListBullet2"/>
      </w:pPr>
      <w:r w:rsidRPr="00EE3466">
        <w:t>media areas</w:t>
      </w:r>
    </w:p>
    <w:p w:rsidR="00000000" w:rsidRPr="00EE3466" w:rsidP="00EE3466">
      <w:pPr>
        <w:pStyle w:val="ListBullet2"/>
      </w:pPr>
      <w:r w:rsidRPr="00EE3466">
        <w:t>meeting rooms</w:t>
      </w:r>
    </w:p>
    <w:p w:rsidR="00000000" w:rsidRPr="00EE3466" w:rsidP="00EE3466">
      <w:pPr>
        <w:pStyle w:val="ListBullet2"/>
      </w:pPr>
      <w:r w:rsidRPr="00EE3466">
        <w:t>on-site registration or ticketing area</w:t>
      </w:r>
    </w:p>
    <w:p w:rsidR="00000000" w:rsidRPr="00EE3466" w:rsidP="00EE3466">
      <w:pPr>
        <w:pStyle w:val="ListBullet2"/>
      </w:pPr>
      <w:r w:rsidRPr="00EE3466">
        <w:t>staff facilities</w:t>
      </w:r>
    </w:p>
    <w:p w:rsidR="00000000" w:rsidRPr="00EE3466" w:rsidP="00EE3466">
      <w:pPr>
        <w:pStyle w:val="ListBullet2"/>
      </w:pPr>
      <w:r w:rsidRPr="00EE3466">
        <w:t>storage</w:t>
      </w:r>
    </w:p>
    <w:p w:rsidR="00000000" w:rsidRPr="00EE3466" w:rsidP="00EE3466">
      <w:pPr>
        <w:pStyle w:val="ListBullet2"/>
      </w:pPr>
      <w:r w:rsidRPr="00EE3466">
        <w:t>toilet facilities</w:t>
      </w:r>
    </w:p>
    <w:p w:rsidR="00000000" w:rsidRPr="00EE3466" w:rsidP="00EE3466">
      <w:pPr>
        <w:pStyle w:val="ListBullet2"/>
      </w:pPr>
      <w:r w:rsidRPr="00EE3466">
        <w:t>waste disposal and recycling</w:t>
      </w:r>
    </w:p>
    <w:p w:rsidR="00000000" w:rsidRPr="00EE3466" w:rsidP="00EE3466">
      <w:pPr>
        <w:pStyle w:val="ListBullet"/>
      </w:pPr>
      <w:r w:rsidRPr="00EE3466">
        <w:t>profiles for exhibitors involved in the specific exhibition</w:t>
      </w:r>
    </w:p>
    <w:p w:rsidR="00000000" w:rsidRPr="00EE3466" w:rsidP="00EE3466">
      <w:pPr>
        <w:pStyle w:val="ListBullet"/>
      </w:pPr>
      <w:r w:rsidRPr="00EE3466">
        <w:t>key environmental and social impacts of exhibition deliver</w:t>
      </w:r>
      <w:r w:rsidRPr="00EE3466">
        <w:t>y, and minimal impact procedures to reduce them:</w:t>
      </w:r>
    </w:p>
    <w:p w:rsidR="00000000" w:rsidRPr="00EE3466" w:rsidP="00EE3466">
      <w:pPr>
        <w:pStyle w:val="ListBullet2"/>
      </w:pPr>
      <w:r w:rsidRPr="00EE3466">
        <w:t>reducing the impact on lifestyle of neighbouring residents</w:t>
      </w:r>
    </w:p>
    <w:p w:rsidR="00000000" w:rsidRPr="00EE3466" w:rsidP="00EE3466">
      <w:pPr>
        <w:pStyle w:val="ListBullet2"/>
      </w:pPr>
      <w:r w:rsidRPr="00EE3466">
        <w:t>maintaining natural and cultural integrity</w:t>
      </w:r>
    </w:p>
    <w:p w:rsidR="00000000" w:rsidRPr="00EE3466" w:rsidP="00EE3466">
      <w:pPr>
        <w:pStyle w:val="ListBullet2"/>
      </w:pPr>
      <w:r w:rsidRPr="00EE3466">
        <w:t>recycling and disposing of waste, especially hazardous substances</w:t>
      </w:r>
    </w:p>
    <w:p w:rsidR="00000000" w:rsidRPr="00EE3466" w:rsidP="00EE3466">
      <w:pPr>
        <w:pStyle w:val="ListBullet2"/>
      </w:pPr>
      <w:r w:rsidRPr="00EE3466">
        <w:t>safety for crowds and the movement of large numbers of attendees</w:t>
      </w:r>
    </w:p>
    <w:p w:rsidR="00000000" w:rsidRPr="00EE3466" w:rsidP="00EE3466">
      <w:pPr>
        <w:pStyle w:val="ListBullet2"/>
      </w:pPr>
      <w:r w:rsidRPr="00EE3466">
        <w:t>use of energy, water and other resources during event set-up, operation and break-down</w:t>
      </w:r>
    </w:p>
    <w:p w:rsidR="00000000" w:rsidRPr="00EE3466" w:rsidP="00EE3466">
      <w:pPr>
        <w:pStyle w:val="ListBullet"/>
      </w:pPr>
      <w:r w:rsidRPr="00EE3466">
        <w:t>evaluation and performance measurement systems for events:</w:t>
      </w:r>
    </w:p>
    <w:p w:rsidR="00000000" w:rsidRPr="00EE3466" w:rsidP="00EE3466">
      <w:pPr>
        <w:pStyle w:val="ListBullet2"/>
      </w:pPr>
      <w:r w:rsidRPr="00EE3466">
        <w:t>formats and systems</w:t>
      </w:r>
    </w:p>
    <w:p w:rsidR="00000000" w:rsidRPr="00EE3466" w:rsidP="00EE3466">
      <w:pPr>
        <w:pStyle w:val="ListBullet2"/>
      </w:pPr>
      <w:r w:rsidRPr="00EE3466">
        <w:t>qualitative and quantit</w:t>
      </w:r>
      <w:r w:rsidRPr="00EE3466">
        <w:t>ative evaluation criteria and ways to evaluate having achieved them.</w:t>
      </w:r>
    </w:p>
    <w:p w:rsidR="00000000" w:rsidRPr="00EE3466" w:rsidP="00EE3466">
      <w:pPr>
        <w:pStyle w:val="AllowPageBreak"/>
      </w:pPr>
    </w:p>
    <w:p w:rsidR="00000000" w:rsidRPr="00EE3466" w:rsidP="00EE3466">
      <w:pPr>
        <w:pStyle w:val="Heading1"/>
      </w:pPr>
      <w:bookmarkStart w:id="4" w:name="O_1229100"/>
      <w:bookmarkEnd w:id="4"/>
      <w:r w:rsidRPr="00EE3466">
        <w:t>Assessment Conditions</w:t>
      </w:r>
    </w:p>
    <w:p w:rsidR="00000000" w:rsidRPr="00EE3466" w:rsidP="00DA113D">
      <w:pPr>
        <w:pStyle w:val="BodyText"/>
      </w:pPr>
      <w:r w:rsidRPr="00EE3466">
        <w:t>Skills must be demonstrated in:</w:t>
      </w:r>
    </w:p>
    <w:p w:rsidR="00000000" w:rsidRPr="00EE3466" w:rsidP="00EE3466">
      <w:pPr>
        <w:pStyle w:val="ListBullet"/>
      </w:pPr>
      <w:r w:rsidRPr="00EE3466">
        <w:t>a live exhibition; or</w:t>
      </w:r>
    </w:p>
    <w:p w:rsidR="00000000" w:rsidRPr="00EE3466" w:rsidP="00EE3466">
      <w:pPr>
        <w:pStyle w:val="ListBullet"/>
      </w:pPr>
      <w:r w:rsidRPr="00EE3466">
        <w:t>a simulated exhibition set up for the purpose of assessment.</w:t>
      </w:r>
    </w:p>
    <w:p w:rsidR="00000000" w:rsidRPr="00EE3466" w:rsidP="00DA113D">
      <w:pPr>
        <w:pStyle w:val="BodyText"/>
      </w:pPr>
      <w:r w:rsidRPr="00EE3466">
        <w:t xml:space="preserve">Assessment must ensure access </w:t>
      </w:r>
      <w:r w:rsidRPr="00EE3466">
        <w:t>to:</w:t>
      </w:r>
    </w:p>
    <w:p w:rsidR="00000000" w:rsidRPr="00EE3466" w:rsidP="00EE3466">
      <w:pPr>
        <w:pStyle w:val="ListBullet"/>
      </w:pPr>
      <w:r w:rsidRPr="00EE3466">
        <w:t>venues and sites where exhibitions are staged</w:t>
      </w:r>
    </w:p>
    <w:p w:rsidR="00000000" w:rsidRPr="00EE3466" w:rsidP="00EE3466">
      <w:pPr>
        <w:pStyle w:val="ListBullet"/>
      </w:pPr>
      <w:r w:rsidRPr="00EE3466">
        <w:t>exhibition budgets</w:t>
      </w:r>
    </w:p>
    <w:p w:rsidR="00000000" w:rsidRPr="00EE3466" w:rsidP="00EE3466">
      <w:pPr>
        <w:pStyle w:val="ListBullet"/>
      </w:pPr>
      <w:r w:rsidRPr="00EE3466">
        <w:t>exhibition objectives</w:t>
      </w:r>
    </w:p>
    <w:p w:rsidR="00000000" w:rsidRPr="00EE3466" w:rsidP="00EE3466">
      <w:pPr>
        <w:pStyle w:val="ListBullet"/>
      </w:pPr>
      <w:r w:rsidRPr="00EE3466">
        <w:t>exhibitor profiles</w:t>
      </w:r>
    </w:p>
    <w:p w:rsidR="00000000" w:rsidRPr="00EE3466" w:rsidP="00EE3466">
      <w:pPr>
        <w:pStyle w:val="ListBullet"/>
      </w:pPr>
      <w:r w:rsidRPr="00EE3466">
        <w:t>current and comprehensive exhibition venue information:</w:t>
      </w:r>
    </w:p>
    <w:p w:rsidR="00000000" w:rsidRPr="00EE3466" w:rsidP="00EE3466">
      <w:pPr>
        <w:pStyle w:val="ListBullet2"/>
      </w:pPr>
      <w:r w:rsidRPr="00EE3466">
        <w:t>site specifications, floor plans, operational and capacity information</w:t>
      </w:r>
    </w:p>
    <w:p w:rsidR="00000000" w:rsidRPr="00EE3466" w:rsidP="00EE3466">
      <w:pPr>
        <w:pStyle w:val="ListBullet2"/>
      </w:pPr>
      <w:r w:rsidRPr="00EE3466">
        <w:t>technical production and production specifications</w:t>
      </w:r>
    </w:p>
    <w:p w:rsidR="00000000" w:rsidRPr="00EE3466" w:rsidP="00EE3466">
      <w:pPr>
        <w:pStyle w:val="ListBullet"/>
      </w:pPr>
      <w:r w:rsidRPr="00EE3466">
        <w:t>formal communication plans</w:t>
      </w:r>
    </w:p>
    <w:p w:rsidR="00000000" w:rsidRPr="00EE3466" w:rsidP="00EE3466">
      <w:pPr>
        <w:pStyle w:val="ListBullet"/>
      </w:pPr>
      <w:r w:rsidRPr="00EE3466">
        <w:t>an exhibition operations team and exhibition stakeholders with whom the individual consults. These can be:</w:t>
      </w:r>
    </w:p>
    <w:p w:rsidR="00000000" w:rsidRPr="00EE3466" w:rsidP="00EE3466">
      <w:pPr>
        <w:pStyle w:val="ListBullet2"/>
      </w:pPr>
      <w:r w:rsidRPr="00EE3466">
        <w:t>those in an industry workplace who are assisted by the individual dur</w:t>
      </w:r>
      <w:r w:rsidRPr="00EE3466">
        <w:t>ing the assessment process; or</w:t>
      </w:r>
    </w:p>
    <w:p w:rsidR="00000000" w:rsidRPr="00EE3466" w:rsidP="00EE3466">
      <w:pPr>
        <w:pStyle w:val="ListBullet2"/>
      </w:pPr>
      <w:r w:rsidRPr="00EE3466">
        <w:t>individuals who participate in role plays or simulated activities, set up for the purpose of assessment, in a simulated industry environment operated within a training organisation.</w:t>
      </w:r>
    </w:p>
    <w:p w:rsidR="00000000" w:rsidRPr="00EE3466" w:rsidP="00DA113D">
      <w:pPr>
        <w:pStyle w:val="BodyText"/>
      </w:pPr>
      <w:r w:rsidRPr="00EE3466">
        <w:t>Assessors must satisfy the Standards for Re</w:t>
      </w:r>
      <w:r w:rsidRPr="00EE3466">
        <w:t>gistered Training Organisations’ requirements for assessors and have worked in industry for at least three years where they have applied the skills and knowledge of this unit of competency.</w:t>
      </w:r>
    </w:p>
    <w:p w:rsidR="00000000" w:rsidRPr="00EE3466" w:rsidP="00EE3466">
      <w:pPr>
        <w:pStyle w:val="Heading1"/>
      </w:pPr>
      <w:bookmarkStart w:id="5" w:name="O_1229098"/>
      <w:bookmarkEnd w:id="5"/>
      <w:r w:rsidRPr="00EE3466">
        <w:t>Links</w:t>
      </w:r>
    </w:p>
    <w:p w:rsidR="00000000" w:rsidRPr="00EE3466" w:rsidP="00DA113D">
      <w:pPr>
        <w:pStyle w:val="BodyText"/>
      </w:pPr>
      <w:r w:rsidRPr="00EE3466">
        <w:t>Companion Volume implementation guides ar</w:t>
      </w:r>
      <w:r w:rsidRPr="00EE3466">
        <w:t xml:space="preserve">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9454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E3466" w:rsidP="00EE3466"/>
    <w:sectPr w:rsidSect="00EE34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66" w:rsidRPr="00DA113D" w:rsidP="00DA1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3D" w:rsidP="00EE3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13D" w:rsidP="00EE3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113D" w:rsidP="00EE3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466" w:rsidRPr="00DA113D" w:rsidP="00DA1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3D" w:rsidRPr="002D2AF8" w:rsidP="00EE3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SITEEVT036 Plan and allocate exhibition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A113D" w:rsidP="00EE3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128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AB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47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466"/>
  </w:style>
  <w:style w:type="character" w:customStyle="1" w:styleId="Heading1Char">
    <w:name w:val="Heading 1 Char"/>
    <w:basedOn w:val="DefaultParagraphFont"/>
    <w:link w:val="Heading1"/>
    <w:rsid w:val="00EE3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46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4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34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3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466"/>
    <w:rPr>
      <w:b/>
      <w:spacing w:val="0"/>
    </w:rPr>
  </w:style>
  <w:style w:type="paragraph" w:customStyle="1" w:styleId="SuperTitle">
    <w:name w:val="SuperTitle"/>
    <w:basedOn w:val="Title"/>
    <w:rsid w:val="00EE3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4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466"/>
    <w:rPr>
      <w:i/>
    </w:rPr>
  </w:style>
  <w:style w:type="paragraph" w:styleId="Caption">
    <w:name w:val="caption"/>
    <w:basedOn w:val="BodyText"/>
    <w:next w:val="Normal"/>
    <w:qFormat/>
    <w:rsid w:val="00EE3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466"/>
  </w:style>
  <w:style w:type="paragraph" w:styleId="TableofFigures">
    <w:name w:val="table of figures"/>
    <w:basedOn w:val="Normal"/>
    <w:next w:val="Normal"/>
    <w:semiHidden/>
    <w:rsid w:val="00EE3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4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3466"/>
    <w:rPr>
      <w:rFonts w:ascii="Wingdings" w:hAnsi="Wingdings"/>
    </w:rPr>
  </w:style>
  <w:style w:type="paragraph" w:customStyle="1" w:styleId="TableHeading">
    <w:name w:val="Table Heading"/>
    <w:basedOn w:val="HeadingBase"/>
    <w:rsid w:val="00EE3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466"/>
    <w:rPr>
      <w:color w:val="0033CC"/>
      <w:u w:val="none"/>
    </w:rPr>
  </w:style>
  <w:style w:type="paragraph" w:customStyle="1" w:styleId="BodyTextRight">
    <w:name w:val="Body Text Right"/>
    <w:basedOn w:val="BodyText"/>
    <w:rsid w:val="00EE3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4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466"/>
    <w:rPr>
      <w:sz w:val="32"/>
    </w:rPr>
  </w:style>
  <w:style w:type="paragraph" w:customStyle="1" w:styleId="HeadingProcedure">
    <w:name w:val="Heading Procedure"/>
    <w:basedOn w:val="HeadingBase"/>
    <w:next w:val="Normal"/>
    <w:rsid w:val="00EE3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466"/>
    <w:pPr>
      <w:spacing w:before="60" w:after="60"/>
    </w:pPr>
  </w:style>
  <w:style w:type="paragraph" w:styleId="ListContinue">
    <w:name w:val="List Continue"/>
    <w:basedOn w:val="List"/>
    <w:rsid w:val="00EE3466"/>
    <w:pPr>
      <w:ind w:firstLine="0"/>
    </w:pPr>
  </w:style>
  <w:style w:type="paragraph" w:customStyle="1" w:styleId="ListNote">
    <w:name w:val="List Note"/>
    <w:basedOn w:val="List"/>
    <w:rsid w:val="00EE3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466"/>
    <w:rPr>
      <w:rFonts w:ascii="Courier New" w:hAnsi="Courier New"/>
    </w:rPr>
  </w:style>
  <w:style w:type="paragraph" w:customStyle="1" w:styleId="NoteBullet">
    <w:name w:val="Note Bullet"/>
    <w:basedOn w:val="Note"/>
    <w:rsid w:val="00EE3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4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3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466"/>
    <w:rPr>
      <w:b/>
      <w:smallCaps/>
    </w:rPr>
  </w:style>
  <w:style w:type="paragraph" w:customStyle="1" w:styleId="TableListNumber">
    <w:name w:val="Table List Number"/>
    <w:basedOn w:val="ListNumber"/>
    <w:rsid w:val="00EE3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466"/>
    <w:pPr>
      <w:numPr>
        <w:numId w:val="10"/>
      </w:numPr>
    </w:pPr>
  </w:style>
  <w:style w:type="paragraph" w:customStyle="1" w:styleId="ListAlpha2">
    <w:name w:val="List Alpha 2"/>
    <w:basedOn w:val="List2"/>
    <w:rsid w:val="00EE3466"/>
    <w:pPr>
      <w:numPr>
        <w:numId w:val="9"/>
      </w:numPr>
    </w:pPr>
  </w:style>
  <w:style w:type="paragraph" w:styleId="List2">
    <w:name w:val="List 2"/>
    <w:basedOn w:val="BodyText"/>
    <w:rsid w:val="00EE3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4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34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3466"/>
    <w:pPr>
      <w:numPr>
        <w:numId w:val="5"/>
      </w:numPr>
    </w:pPr>
  </w:style>
  <w:style w:type="paragraph" w:styleId="ListContinue2">
    <w:name w:val="List Continue 2"/>
    <w:basedOn w:val="List2"/>
    <w:rsid w:val="00EE3466"/>
    <w:pPr>
      <w:ind w:firstLine="0"/>
    </w:pPr>
  </w:style>
  <w:style w:type="paragraph" w:styleId="ListContinue3">
    <w:name w:val="List Continue 3"/>
    <w:basedOn w:val="List3"/>
    <w:rsid w:val="00EE3466"/>
    <w:pPr>
      <w:ind w:left="1021" w:firstLine="0"/>
    </w:pPr>
  </w:style>
  <w:style w:type="paragraph" w:styleId="ListContinue4">
    <w:name w:val="List Continue 4"/>
    <w:basedOn w:val="List4"/>
    <w:rsid w:val="00EE3466"/>
    <w:pPr>
      <w:ind w:firstLine="0"/>
    </w:pPr>
  </w:style>
  <w:style w:type="paragraph" w:styleId="ListContinue5">
    <w:name w:val="List Continue 5"/>
    <w:basedOn w:val="List5"/>
    <w:rsid w:val="00EE3466"/>
    <w:pPr>
      <w:ind w:firstLine="0"/>
    </w:pPr>
  </w:style>
  <w:style w:type="paragraph" w:styleId="ListNumber3">
    <w:name w:val="List Number 3"/>
    <w:basedOn w:val="List3"/>
    <w:rsid w:val="00EE3466"/>
    <w:pPr>
      <w:numPr>
        <w:numId w:val="6"/>
      </w:numPr>
    </w:pPr>
  </w:style>
  <w:style w:type="paragraph" w:styleId="ListNumber4">
    <w:name w:val="List Number 4"/>
    <w:basedOn w:val="List4"/>
    <w:rsid w:val="00EE3466"/>
    <w:pPr>
      <w:numPr>
        <w:numId w:val="7"/>
      </w:numPr>
    </w:pPr>
  </w:style>
  <w:style w:type="paragraph" w:styleId="ListNumber5">
    <w:name w:val="List Number 5"/>
    <w:basedOn w:val="List5"/>
    <w:rsid w:val="00EE3466"/>
    <w:pPr>
      <w:numPr>
        <w:numId w:val="8"/>
      </w:numPr>
    </w:pPr>
  </w:style>
  <w:style w:type="paragraph" w:styleId="BlockText">
    <w:name w:val="Block Text"/>
    <w:basedOn w:val="Normal"/>
    <w:rsid w:val="00EE3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466"/>
    <w:rPr>
      <w:sz w:val="16"/>
      <w:vertAlign w:val="superscript"/>
    </w:rPr>
  </w:style>
  <w:style w:type="character" w:customStyle="1" w:styleId="Symbols">
    <w:name w:val="Symbols"/>
    <w:basedOn w:val="DefaultParagraphFont"/>
    <w:rsid w:val="00EE3466"/>
    <w:rPr>
      <w:rFonts w:ascii="Symbol" w:hAnsi="Symbol"/>
    </w:rPr>
  </w:style>
  <w:style w:type="character" w:customStyle="1" w:styleId="MenuOptions">
    <w:name w:val="Menu Options"/>
    <w:basedOn w:val="DefaultParagraphFont"/>
    <w:rsid w:val="00EE3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466"/>
    <w:rPr>
      <w:b/>
    </w:rPr>
  </w:style>
  <w:style w:type="character" w:customStyle="1" w:styleId="Underlined">
    <w:name w:val="Underlined"/>
    <w:basedOn w:val="DefaultParagraphFont"/>
    <w:rsid w:val="00EE3466"/>
    <w:rPr>
      <w:u w:val="single"/>
    </w:rPr>
  </w:style>
  <w:style w:type="paragraph" w:customStyle="1" w:styleId="TableBodyTextRight">
    <w:name w:val="Table Body Text Right"/>
    <w:basedOn w:val="TableBodyText"/>
    <w:rsid w:val="00EE3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466"/>
    <w:rPr>
      <w:sz w:val="18"/>
    </w:rPr>
  </w:style>
  <w:style w:type="paragraph" w:customStyle="1" w:styleId="BodySmallRight">
    <w:name w:val="Body Small Right"/>
    <w:basedOn w:val="BodyTextRight"/>
    <w:rsid w:val="00EE3466"/>
    <w:rPr>
      <w:sz w:val="18"/>
      <w:szCs w:val="18"/>
    </w:rPr>
  </w:style>
  <w:style w:type="paragraph" w:customStyle="1" w:styleId="MarginEdition">
    <w:name w:val="Margin Edition"/>
    <w:basedOn w:val="MarginNote"/>
    <w:rsid w:val="00EE3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466"/>
    <w:rPr>
      <w:sz w:val="2"/>
      <w:szCs w:val="2"/>
    </w:rPr>
  </w:style>
  <w:style w:type="character" w:customStyle="1" w:styleId="Small">
    <w:name w:val="Small"/>
    <w:basedOn w:val="DefaultParagraphFont"/>
    <w:rsid w:val="00EE3466"/>
    <w:rPr>
      <w:sz w:val="16"/>
    </w:rPr>
  </w:style>
  <w:style w:type="paragraph" w:customStyle="1" w:styleId="WideTable">
    <w:name w:val="Wide Table"/>
    <w:basedOn w:val="Normal"/>
    <w:rsid w:val="00EE3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466"/>
  </w:style>
  <w:style w:type="paragraph" w:styleId="Quote">
    <w:name w:val="Quote"/>
    <w:basedOn w:val="Heading1"/>
    <w:link w:val="QuoteChar"/>
    <w:qFormat/>
    <w:rsid w:val="00EE3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466"/>
    <w:pPr>
      <w:pageBreakBefore/>
    </w:pPr>
  </w:style>
  <w:style w:type="paragraph" w:customStyle="1" w:styleId="Border">
    <w:name w:val="Border"/>
    <w:basedOn w:val="Normal"/>
    <w:qFormat/>
    <w:rsid w:val="00EE3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466"/>
    <w:rPr>
      <w:u w:val="single"/>
    </w:rPr>
  </w:style>
  <w:style w:type="character" w:customStyle="1" w:styleId="BoldandItalics">
    <w:name w:val="Bold and Italics"/>
    <w:qFormat/>
    <w:rsid w:val="00EE3466"/>
    <w:rPr>
      <w:b/>
      <w:i/>
      <w:u w:val="none"/>
    </w:rPr>
  </w:style>
  <w:style w:type="paragraph" w:styleId="BalloonText">
    <w:name w:val="Balloon Text"/>
    <w:basedOn w:val="Normal"/>
    <w:link w:val="BalloonTextChar"/>
    <w:rsid w:val="00EE3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466"/>
    <w:pPr>
      <w:spacing w:before="0" w:after="0"/>
    </w:pPr>
  </w:style>
  <w:style w:type="paragraph" w:customStyle="1" w:styleId="BodyTextBold">
    <w:name w:val="Body Text Bold"/>
    <w:basedOn w:val="BodyText"/>
    <w:qFormat/>
    <w:rsid w:val="00EE3466"/>
    <w:rPr>
      <w:b/>
    </w:rPr>
  </w:style>
  <w:style w:type="character" w:styleId="Hyperlink">
    <w:name w:val="Hyperlink"/>
    <w:basedOn w:val="DefaultParagraphFont"/>
    <w:uiPriority w:val="99"/>
    <w:unhideWhenUsed/>
    <w:rsid w:val="00DA1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4709</Characters>
  <Application>Microsoft Office Word</Application>
  <DocSecurity>0</DocSecurity>
  <Lines>142</Lines>
  <Paragraphs>128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SITEEVT036 Plan and allocate exhibition space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