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5AE" w:rsidP="00972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SITEEVT031 Determine event feasibility</w:t>
      </w:r>
      <w:r>
        <w:fldChar w:fldCharType="end"/>
      </w:r>
    </w:p>
    <w:p w:rsidR="009725AE" w:rsidP="009725AE">
      <w:pPr>
        <w:pStyle w:val="Version"/>
        <w:sectPr w:rsidSect="00263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F41" w:rsidP="00263F41">
      <w:pPr>
        <w:pStyle w:val="SuperHeading"/>
      </w:pPr>
      <w:r w:rsidRPr="00263F41">
        <w:t>SITEEVT031 Determine event feasibility</w:t>
      </w:r>
    </w:p>
    <w:p w:rsidR="00000000" w:rsidRPr="00263F41" w:rsidP="00263F41">
      <w:pPr>
        <w:pStyle w:val="Heading1"/>
      </w:pPr>
      <w:bookmarkStart w:id="1" w:name="O_1229013"/>
      <w:bookmarkEnd w:id="1"/>
      <w:r w:rsidRPr="00263F41">
        <w:t>Modification History</w:t>
      </w:r>
    </w:p>
    <w:p w:rsidR="00000000" w:rsidRPr="00263F41" w:rsidP="009725AE">
      <w:pPr>
        <w:pStyle w:val="BodyText"/>
      </w:pPr>
      <w:r w:rsidRPr="00263F41">
        <w:t>Not applicable.</w:t>
      </w:r>
    </w:p>
    <w:p w:rsidR="00000000" w:rsidRPr="00263F41" w:rsidP="00263F41">
      <w:pPr>
        <w:pStyle w:val="Heading1"/>
      </w:pPr>
      <w:bookmarkStart w:id="2" w:name="O_1229020"/>
      <w:bookmarkEnd w:id="2"/>
      <w:r w:rsidRPr="00263F41">
        <w:t>Application</w:t>
      </w:r>
    </w:p>
    <w:p w:rsidR="00000000" w:rsidRPr="00263F41" w:rsidP="009725AE">
      <w:pPr>
        <w:pStyle w:val="BodyText"/>
      </w:pPr>
      <w:r w:rsidRPr="00263F41">
        <w:t xml:space="preserve">This unit describes the performance outcomes, skills and knowledge required to assess the viability of a proposed event, and develop recommendations and models for its future planning and </w:t>
      </w:r>
      <w:r w:rsidRPr="00263F41">
        <w:t>operation. It requires the ability to use advanced research, analytical and communication skills combined with a detailed knowledge of the event management process. Event feasibility may be determined after, or in parallel with, the creation of the initial</w:t>
      </w:r>
      <w:r w:rsidRPr="00263F41">
        <w:t xml:space="preserve"> event concept.</w:t>
      </w:r>
    </w:p>
    <w:p w:rsidR="00000000" w:rsidRPr="00263F41" w:rsidP="009725AE">
      <w:pPr>
        <w:pStyle w:val="BodyText"/>
      </w:pPr>
      <w:r w:rsidRPr="00263F41">
        <w:t>This unit is relevant to events that are diverse in nature and are coordinated in many industry contexts, including the tourism, hospitality, sport, cultural and community sectors.</w:t>
      </w:r>
    </w:p>
    <w:p w:rsidR="00000000" w:rsidRPr="00263F41" w:rsidP="009725AE">
      <w:pPr>
        <w:pStyle w:val="BodyText"/>
      </w:pPr>
      <w:r w:rsidRPr="00263F41">
        <w:t>It applies to event managers who operate with significant a</w:t>
      </w:r>
      <w:r w:rsidRPr="00263F41">
        <w:t>utonomy and who are responsible for making a range of strategic event management decisions. They may work in event management companies, in event venues, or in organisations that organise their own events.</w:t>
      </w:r>
    </w:p>
    <w:p w:rsidR="00000000" w:rsidRPr="00263F41" w:rsidP="009725AE">
      <w:pPr>
        <w:pStyle w:val="BodyText"/>
      </w:pPr>
      <w:r w:rsidRPr="00263F41">
        <w:t>The skills in this unit of competency must be appl</w:t>
      </w:r>
      <w:r w:rsidRPr="00263F41">
        <w:t>ied in accordance with Commonwealth and State/Territory legislation, Australian standards and industry codes of practice.</w:t>
      </w:r>
    </w:p>
    <w:p w:rsidR="00000000" w:rsidRPr="00263F41" w:rsidP="009725AE">
      <w:pPr>
        <w:pStyle w:val="BodyText"/>
      </w:pPr>
      <w:r w:rsidRPr="00263F41">
        <w:t>No occupational licensing, certification or specific legislative requirements apply to this unit at the time of publication.</w:t>
      </w:r>
    </w:p>
    <w:p w:rsidR="00000000" w:rsidRPr="00263F41" w:rsidP="00263F41">
      <w:pPr>
        <w:pStyle w:val="Heading1"/>
      </w:pPr>
      <w:bookmarkStart w:id="3" w:name="O_1229019"/>
      <w:bookmarkEnd w:id="3"/>
      <w:r w:rsidRPr="00263F41">
        <w:t>Pre-requisite Unit</w:t>
      </w:r>
    </w:p>
    <w:p w:rsidR="00000000" w:rsidRPr="00263F41" w:rsidP="009725AE">
      <w:pPr>
        <w:pStyle w:val="BodyText"/>
      </w:pPr>
      <w:r w:rsidRPr="00263F41">
        <w:t>Nil</w:t>
      </w:r>
    </w:p>
    <w:p w:rsidR="00000000" w:rsidRPr="00263F41" w:rsidP="00263F41">
      <w:pPr>
        <w:pStyle w:val="Heading1"/>
      </w:pPr>
      <w:bookmarkStart w:id="4" w:name="O_1229018"/>
      <w:bookmarkEnd w:id="4"/>
      <w:r w:rsidRPr="00263F41">
        <w:t>Competency Field</w:t>
      </w:r>
    </w:p>
    <w:p w:rsidR="00000000" w:rsidRPr="00263F41" w:rsidP="00263F41">
      <w:pPr>
        <w:pStyle w:val="Heading1"/>
      </w:pPr>
      <w:bookmarkStart w:id="5" w:name="O_1229017"/>
      <w:bookmarkEnd w:id="5"/>
      <w:r w:rsidRPr="00263F41">
        <w:t>Unit Sector</w:t>
      </w:r>
    </w:p>
    <w:p w:rsidR="00000000" w:rsidRPr="00263F41" w:rsidP="009725AE">
      <w:pPr>
        <w:pStyle w:val="BodyText"/>
      </w:pPr>
      <w:r w:rsidRPr="00263F41">
        <w:t>Events</w:t>
      </w:r>
    </w:p>
    <w:p w:rsidR="00000000" w:rsidRPr="00263F41" w:rsidP="00263F41">
      <w:pPr>
        <w:pStyle w:val="Heading1"/>
      </w:pPr>
      <w:bookmarkStart w:id="6" w:name="O_1229016"/>
      <w:bookmarkEnd w:id="6"/>
      <w:r w:rsidRPr="00263F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BodyText"/>
            </w:pPr>
            <w:r w:rsidRPr="00263F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rPr>
                <w:rStyle w:val="SpecialBold"/>
              </w:rPr>
              <w:t>PERFORMANCE</w:t>
            </w:r>
            <w:r w:rsidRPr="00263F41">
              <w:t xml:space="preserve"> </w:t>
            </w:r>
            <w:r w:rsidRPr="00263F41">
              <w:rPr>
                <w:rStyle w:val="SpecialBold"/>
              </w:rPr>
              <w:t>CRITERIA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BodyText"/>
            </w:pPr>
            <w:r w:rsidRPr="00263F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"/>
              <w:rPr>
                <w:lang w:val="en-NZ"/>
              </w:rPr>
            </w:pPr>
            <w:r w:rsidRPr="00263F41">
              <w:t xml:space="preserve">1.  Analyse event context </w:t>
            </w:r>
            <w:r w:rsidRPr="00263F41">
              <w:t>and rationale.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List"/>
            </w:pPr>
            <w:r w:rsidRPr="00263F41">
              <w:t xml:space="preserve">1.1. Confirm event rationale and objectives through consultation </w:t>
            </w:r>
            <w:r w:rsidRPr="00263F41">
              <w:t>with key stakeholders and evaluation of event concept</w:t>
            </w:r>
            <w:r w:rsidRPr="00263F41">
              <w:t xml:space="preserve"> information.</w:t>
            </w:r>
          </w:p>
          <w:p w:rsidR="00000000" w:rsidRPr="00263F41" w:rsidP="00263F41">
            <w:pPr>
              <w:pStyle w:val="List"/>
            </w:pPr>
            <w:r w:rsidRPr="00263F41">
              <w:t>1.2. Determine place of proposed event in relation to other events and its economic, environmental and social sustainability.</w:t>
            </w:r>
          </w:p>
          <w:p w:rsidR="00000000" w:rsidRPr="00263F41" w:rsidP="00263F41">
            <w:pPr>
              <w:pStyle w:val="List"/>
            </w:pPr>
            <w:r w:rsidRPr="00263F41">
              <w:t>1.3. Assess marketability of proposed event through research and consultation.</w:t>
            </w:r>
          </w:p>
          <w:p w:rsidR="00000000" w:rsidP="00263F41">
            <w:pPr>
              <w:pStyle w:val="List"/>
              <w:rPr>
                <w:lang w:val="en-NZ"/>
              </w:rPr>
            </w:pPr>
            <w:r w:rsidRPr="00263F41">
              <w:t>1.4. Evaluate internal and external f</w:t>
            </w:r>
            <w:r w:rsidRPr="00263F41">
              <w:t>actors that impact on viability of proposed event.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"/>
              <w:rPr>
                <w:lang w:val="en-NZ"/>
              </w:rPr>
            </w:pPr>
            <w:r w:rsidRPr="00263F41">
              <w:t>2.  Assess resource requirements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List"/>
            </w:pPr>
            <w:r w:rsidRPr="00263F41">
              <w:t>2.1. Develop complete and realistic estimates of primary event costs based on breakdown of all event components.</w:t>
            </w:r>
          </w:p>
          <w:p w:rsidR="00000000" w:rsidRPr="00263F41" w:rsidP="00263F41">
            <w:pPr>
              <w:pStyle w:val="List"/>
            </w:pPr>
            <w:r w:rsidRPr="00263F41">
              <w:t>2.2. Identify potential sources of revenue and other resources, and develop realistic estimates.</w:t>
            </w:r>
          </w:p>
          <w:p w:rsidR="00000000" w:rsidP="00263F41">
            <w:pPr>
              <w:pStyle w:val="List"/>
              <w:rPr>
                <w:lang w:val="en-NZ"/>
              </w:rPr>
            </w:pPr>
            <w:r w:rsidRPr="00263F41">
              <w:t>2.3. Test and explore different resource scenarios with a range of possible event models.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"/>
              <w:rPr>
                <w:lang w:val="en-NZ"/>
              </w:rPr>
            </w:pPr>
            <w:r w:rsidRPr="00263F41">
              <w:t>3.  Evaluate planning and operational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List"/>
            </w:pPr>
            <w:r w:rsidRPr="00263F41">
              <w:t>3.1. Analyse ove</w:t>
            </w:r>
            <w:r w:rsidRPr="00263F41">
              <w:t>rall event planning and management requirements.</w:t>
            </w:r>
          </w:p>
          <w:p w:rsidR="00000000" w:rsidRPr="00263F41" w:rsidP="00263F41">
            <w:pPr>
              <w:pStyle w:val="List"/>
            </w:pPr>
            <w:r w:rsidRPr="00263F41">
              <w:t>3.2. Evaluate operational requirements for each event component.</w:t>
            </w:r>
          </w:p>
          <w:p w:rsidR="00000000" w:rsidRPr="00263F41" w:rsidP="00263F41">
            <w:pPr>
              <w:pStyle w:val="List"/>
            </w:pPr>
            <w:r w:rsidRPr="00263F41">
              <w:t>3.3. Identify compliance requirements and impact on event management and operations.</w:t>
            </w:r>
          </w:p>
          <w:p w:rsidR="00000000" w:rsidP="00263F41">
            <w:pPr>
              <w:pStyle w:val="List"/>
              <w:rPr>
                <w:lang w:val="en-NZ"/>
              </w:rPr>
            </w:pPr>
            <w:r w:rsidRPr="00263F41">
              <w:t>3.4. Consider and develop opportunities to enhance sustai</w:t>
            </w:r>
            <w:r w:rsidRPr="00263F41">
              <w:t>nability.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"/>
              <w:rPr>
                <w:lang w:val="en-NZ"/>
              </w:rPr>
            </w:pPr>
            <w:r w:rsidRPr="00263F41">
              <w:t>4.  Develop recommendations and models.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List"/>
            </w:pPr>
            <w:r w:rsidRPr="00263F41">
              <w:t>4.1. Develop positions and recommendations based on outcomes of analysis.</w:t>
            </w:r>
          </w:p>
          <w:p w:rsidR="00000000" w:rsidRPr="00263F41" w:rsidP="00263F41">
            <w:pPr>
              <w:pStyle w:val="List"/>
            </w:pPr>
            <w:r w:rsidRPr="00263F41">
              <w:t>4.2. Develop planning, management and operational recommendations for overall event and key event components.</w:t>
            </w:r>
          </w:p>
          <w:p w:rsidR="00000000" w:rsidRPr="00263F41" w:rsidP="00263F41">
            <w:pPr>
              <w:pStyle w:val="List"/>
            </w:pPr>
            <w:r w:rsidRPr="00263F41">
              <w:t>4.3. Clearly articula</w:t>
            </w:r>
            <w:r w:rsidRPr="00263F41">
              <w:t>te contingency planning requirements.</w:t>
            </w:r>
          </w:p>
          <w:p w:rsidR="00000000" w:rsidRPr="00263F41" w:rsidP="00263F41">
            <w:pPr>
              <w:pStyle w:val="List"/>
            </w:pPr>
            <w:r w:rsidRPr="00263F41">
              <w:t>4.4. Present accurate and complete income and expenditure estimates to inform future decision making.</w:t>
            </w:r>
          </w:p>
          <w:p w:rsidR="00000000" w:rsidRPr="00263F41" w:rsidP="00263F41">
            <w:pPr>
              <w:pStyle w:val="List"/>
            </w:pPr>
            <w:r w:rsidRPr="00263F41">
              <w:t>4.5. Offer different models and options, and provide details of benefits and risks of suggested models.</w:t>
            </w:r>
          </w:p>
          <w:p w:rsidR="00000000" w:rsidRPr="00263F41" w:rsidP="00263F41">
            <w:pPr>
              <w:pStyle w:val="List"/>
            </w:pPr>
            <w:r w:rsidRPr="00263F41">
              <w:t>4.6. Present</w:t>
            </w:r>
            <w:r w:rsidRPr="00263F41">
              <w:t xml:space="preserve"> key stakeholders with feasibility outcomes in appropriate format.</w:t>
            </w:r>
          </w:p>
        </w:tc>
      </w:tr>
    </w:tbl>
    <w:p w:rsidR="00000000" w:rsidRPr="00263F41" w:rsidP="00263F41">
      <w:pPr>
        <w:pStyle w:val="BodyText"/>
      </w:pPr>
    </w:p>
    <w:p w:rsidR="00000000" w:rsidRPr="00263F41" w:rsidP="00263F41">
      <w:pPr>
        <w:pStyle w:val="AllowPageBreak"/>
      </w:pPr>
    </w:p>
    <w:p w:rsidR="00000000" w:rsidRPr="00263F41" w:rsidP="00263F41">
      <w:pPr>
        <w:pStyle w:val="Heading1"/>
      </w:pPr>
      <w:bookmarkStart w:id="7" w:name="O_1229015"/>
      <w:bookmarkEnd w:id="7"/>
      <w:r w:rsidRPr="00263F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263F41">
              <w:rPr>
                <w:rStyle w:val="Emphasis"/>
              </w:rPr>
              <w:t>context statement.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BodyText"/>
            </w:pPr>
            <w:r w:rsidRPr="00263F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rPr>
                <w:rStyle w:val="SpecialBold"/>
              </w:rPr>
              <w:t>DESCRIPTION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Bullet"/>
              <w:rPr>
                <w:lang w:val="en-NZ"/>
              </w:rPr>
            </w:pPr>
            <w:r w:rsidRPr="00263F41">
              <w:t>analyse complex event information.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Bullet"/>
              <w:rPr>
                <w:lang w:val="en-NZ"/>
              </w:rPr>
            </w:pPr>
            <w:r w:rsidRPr="00263F41">
              <w:t>express complex arguments, scenarios and recommendations.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ListBullet"/>
              <w:rPr>
                <w:lang w:val="en-NZ"/>
              </w:rPr>
            </w:pPr>
            <w:r w:rsidRPr="00263F41">
              <w:t>consult and liaise with stakeholders on strategic event management proposals and issues.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ListBullet"/>
            </w:pPr>
            <w:r w:rsidRPr="00263F41">
              <w:t>analyse complex information from varying sources and develop strategic positions and recommendations as a result of analysis</w:t>
            </w:r>
          </w:p>
          <w:p w:rsidR="00000000" w:rsidP="00263F41">
            <w:pPr>
              <w:pStyle w:val="ListBullet"/>
              <w:rPr>
                <w:lang w:val="en-NZ"/>
              </w:rPr>
            </w:pPr>
            <w:r w:rsidRPr="00263F41">
              <w:t>develop strat</w:t>
            </w:r>
            <w:r w:rsidRPr="00263F41">
              <w:t>egic positions and recommendations.</w:t>
            </w:r>
          </w:p>
        </w:tc>
      </w:tr>
      <w:tr w:rsidTr="002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41">
            <w:pPr>
              <w:pStyle w:val="BodyText"/>
              <w:rPr>
                <w:lang w:val="en-NZ"/>
              </w:rPr>
            </w:pPr>
            <w:r w:rsidRPr="00263F4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41" w:rsidP="00263F41">
            <w:pPr>
              <w:pStyle w:val="ListBullet"/>
            </w:pPr>
            <w:r w:rsidRPr="00263F41">
              <w:t>develop innovative models and recommendations for event management.</w:t>
            </w:r>
          </w:p>
        </w:tc>
      </w:tr>
    </w:tbl>
    <w:p w:rsidR="00000000" w:rsidRPr="00263F41" w:rsidP="00263F41">
      <w:pPr>
        <w:pStyle w:val="BodyText"/>
      </w:pPr>
    </w:p>
    <w:p w:rsidR="00000000" w:rsidRPr="00263F41" w:rsidP="00263F41">
      <w:pPr>
        <w:pStyle w:val="AllowPageBreak"/>
      </w:pPr>
    </w:p>
    <w:p w:rsidR="00000000" w:rsidRPr="00263F41" w:rsidP="00263F41">
      <w:pPr>
        <w:pStyle w:val="Heading1"/>
      </w:pPr>
      <w:bookmarkStart w:id="8" w:name="O_1229014"/>
      <w:bookmarkEnd w:id="8"/>
      <w:r w:rsidRPr="00263F41">
        <w:t>Unit Mapping Information</w:t>
      </w:r>
    </w:p>
    <w:p w:rsidR="00000000" w:rsidRPr="00263F41" w:rsidP="009725AE">
      <w:pPr>
        <w:pStyle w:val="BodyText"/>
      </w:pPr>
      <w:r w:rsidRPr="00263F41">
        <w:t>Supersedes and is equivalent to SITEEVT013 Determine event feasibility.</w:t>
      </w:r>
    </w:p>
    <w:p w:rsidR="00000000" w:rsidRPr="00263F41" w:rsidP="00263F41">
      <w:pPr>
        <w:pStyle w:val="Heading1"/>
      </w:pPr>
      <w:bookmarkStart w:id="9" w:name="O_1229007"/>
      <w:bookmarkEnd w:id="9"/>
      <w:r w:rsidRPr="00263F41">
        <w:t>Links</w:t>
      </w:r>
    </w:p>
    <w:p w:rsidR="00000000" w:rsidRPr="00263F41" w:rsidP="009725AE">
      <w:pPr>
        <w:pStyle w:val="BodyText"/>
      </w:pPr>
      <w:r w:rsidRPr="00263F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36D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63F41" w:rsidP="00263F41"/>
    <w:sectPr w:rsidSect="00263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41" w:rsidRPr="009725AE" w:rsidP="00972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AE" w:rsidP="00263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5AE" w:rsidP="00263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25AE" w:rsidP="00263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F41" w:rsidRPr="009725AE" w:rsidP="00972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AE" w:rsidRPr="002D2AF8" w:rsidP="00263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SITEEVT031 Determine event feasibility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725AE" w:rsidP="00263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1EE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547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F41"/>
  </w:style>
  <w:style w:type="character" w:customStyle="1" w:styleId="Heading1Char">
    <w:name w:val="Heading 1 Char"/>
    <w:basedOn w:val="DefaultParagraphFont"/>
    <w:link w:val="Heading1"/>
    <w:rsid w:val="00263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F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3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3F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F41"/>
    <w:rPr>
      <w:b/>
      <w:spacing w:val="0"/>
    </w:rPr>
  </w:style>
  <w:style w:type="character" w:styleId="Emphasis">
    <w:name w:val="Emphasis"/>
    <w:basedOn w:val="DefaultParagraphFont"/>
    <w:qFormat/>
    <w:rsid w:val="00263F41"/>
    <w:rPr>
      <w:i/>
    </w:rPr>
  </w:style>
  <w:style w:type="paragraph" w:customStyle="1" w:styleId="SuperHeading">
    <w:name w:val="SuperHeading"/>
    <w:basedOn w:val="Normal"/>
    <w:rsid w:val="00263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F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3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F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F41"/>
  </w:style>
  <w:style w:type="paragraph" w:styleId="TableofFigures">
    <w:name w:val="table of figures"/>
    <w:basedOn w:val="Normal"/>
    <w:next w:val="Normal"/>
    <w:semiHidden/>
    <w:rsid w:val="00263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F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F41"/>
    <w:rPr>
      <w:rFonts w:ascii="Wingdings" w:hAnsi="Wingdings"/>
    </w:rPr>
  </w:style>
  <w:style w:type="paragraph" w:customStyle="1" w:styleId="TableHeading">
    <w:name w:val="Table Heading"/>
    <w:basedOn w:val="HeadingBase"/>
    <w:rsid w:val="00263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F41"/>
    <w:rPr>
      <w:color w:val="0033CC"/>
      <w:u w:val="none"/>
    </w:rPr>
  </w:style>
  <w:style w:type="paragraph" w:customStyle="1" w:styleId="BodyTextRight">
    <w:name w:val="Body Text Right"/>
    <w:basedOn w:val="BodyText"/>
    <w:rsid w:val="00263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F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F41"/>
    <w:rPr>
      <w:sz w:val="32"/>
    </w:rPr>
  </w:style>
  <w:style w:type="paragraph" w:customStyle="1" w:styleId="HeadingProcedure">
    <w:name w:val="Heading Procedure"/>
    <w:basedOn w:val="HeadingBase"/>
    <w:next w:val="Normal"/>
    <w:rsid w:val="00263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F41"/>
    <w:pPr>
      <w:spacing w:before="60" w:after="60"/>
    </w:pPr>
  </w:style>
  <w:style w:type="paragraph" w:styleId="ListContinue">
    <w:name w:val="List Continue"/>
    <w:basedOn w:val="List"/>
    <w:rsid w:val="00263F41"/>
    <w:pPr>
      <w:ind w:firstLine="0"/>
    </w:pPr>
  </w:style>
  <w:style w:type="paragraph" w:customStyle="1" w:styleId="ListNote">
    <w:name w:val="List Note"/>
    <w:basedOn w:val="List"/>
    <w:rsid w:val="00263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F41"/>
    <w:rPr>
      <w:rFonts w:ascii="Courier New" w:hAnsi="Courier New"/>
    </w:rPr>
  </w:style>
  <w:style w:type="paragraph" w:customStyle="1" w:styleId="NoteBullet">
    <w:name w:val="Note Bullet"/>
    <w:basedOn w:val="Note"/>
    <w:rsid w:val="00263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F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F41"/>
    <w:rPr>
      <w:b/>
      <w:smallCaps/>
    </w:rPr>
  </w:style>
  <w:style w:type="paragraph" w:customStyle="1" w:styleId="TableListNumber">
    <w:name w:val="Table List Number"/>
    <w:basedOn w:val="ListNumber"/>
    <w:rsid w:val="00263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F41"/>
    <w:pPr>
      <w:numPr>
        <w:numId w:val="8"/>
      </w:numPr>
    </w:pPr>
  </w:style>
  <w:style w:type="paragraph" w:customStyle="1" w:styleId="ListAlpha2">
    <w:name w:val="List Alpha 2"/>
    <w:basedOn w:val="List2"/>
    <w:rsid w:val="00263F41"/>
    <w:pPr>
      <w:numPr>
        <w:numId w:val="7"/>
      </w:numPr>
    </w:pPr>
  </w:style>
  <w:style w:type="paragraph" w:styleId="List2">
    <w:name w:val="List 2"/>
    <w:basedOn w:val="BodyText"/>
    <w:rsid w:val="00263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F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F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F41"/>
    <w:pPr>
      <w:numPr>
        <w:numId w:val="3"/>
      </w:numPr>
    </w:pPr>
  </w:style>
  <w:style w:type="paragraph" w:styleId="ListContinue2">
    <w:name w:val="List Continue 2"/>
    <w:basedOn w:val="List2"/>
    <w:rsid w:val="00263F41"/>
    <w:pPr>
      <w:ind w:firstLine="0"/>
    </w:pPr>
  </w:style>
  <w:style w:type="paragraph" w:styleId="ListContinue3">
    <w:name w:val="List Continue 3"/>
    <w:basedOn w:val="List3"/>
    <w:rsid w:val="00263F41"/>
    <w:pPr>
      <w:ind w:left="1021" w:firstLine="0"/>
    </w:pPr>
  </w:style>
  <w:style w:type="paragraph" w:styleId="ListContinue4">
    <w:name w:val="List Continue 4"/>
    <w:basedOn w:val="List4"/>
    <w:rsid w:val="00263F41"/>
    <w:pPr>
      <w:ind w:firstLine="0"/>
    </w:pPr>
  </w:style>
  <w:style w:type="paragraph" w:styleId="ListContinue5">
    <w:name w:val="List Continue 5"/>
    <w:basedOn w:val="List5"/>
    <w:rsid w:val="00263F41"/>
    <w:pPr>
      <w:ind w:firstLine="0"/>
    </w:pPr>
  </w:style>
  <w:style w:type="paragraph" w:styleId="ListNumber3">
    <w:name w:val="List Number 3"/>
    <w:basedOn w:val="List3"/>
    <w:rsid w:val="00263F41"/>
    <w:pPr>
      <w:numPr>
        <w:numId w:val="4"/>
      </w:numPr>
    </w:pPr>
  </w:style>
  <w:style w:type="paragraph" w:styleId="ListNumber4">
    <w:name w:val="List Number 4"/>
    <w:basedOn w:val="List4"/>
    <w:rsid w:val="00263F41"/>
    <w:pPr>
      <w:numPr>
        <w:numId w:val="5"/>
      </w:numPr>
    </w:pPr>
  </w:style>
  <w:style w:type="paragraph" w:styleId="ListNumber5">
    <w:name w:val="List Number 5"/>
    <w:basedOn w:val="List5"/>
    <w:rsid w:val="00263F41"/>
    <w:pPr>
      <w:numPr>
        <w:numId w:val="6"/>
      </w:numPr>
    </w:pPr>
  </w:style>
  <w:style w:type="paragraph" w:styleId="BlockText">
    <w:name w:val="Block Text"/>
    <w:basedOn w:val="Normal"/>
    <w:rsid w:val="00263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F41"/>
    <w:rPr>
      <w:sz w:val="16"/>
      <w:vertAlign w:val="superscript"/>
    </w:rPr>
  </w:style>
  <w:style w:type="character" w:customStyle="1" w:styleId="Symbols">
    <w:name w:val="Symbols"/>
    <w:basedOn w:val="DefaultParagraphFont"/>
    <w:rsid w:val="00263F41"/>
    <w:rPr>
      <w:rFonts w:ascii="Symbol" w:hAnsi="Symbol"/>
    </w:rPr>
  </w:style>
  <w:style w:type="character" w:customStyle="1" w:styleId="MenuOptions">
    <w:name w:val="Menu Options"/>
    <w:basedOn w:val="DefaultParagraphFont"/>
    <w:rsid w:val="00263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F41"/>
    <w:rPr>
      <w:b/>
    </w:rPr>
  </w:style>
  <w:style w:type="character" w:customStyle="1" w:styleId="Underlined">
    <w:name w:val="Underlined"/>
    <w:basedOn w:val="DefaultParagraphFont"/>
    <w:rsid w:val="00263F41"/>
    <w:rPr>
      <w:u w:val="single"/>
    </w:rPr>
  </w:style>
  <w:style w:type="paragraph" w:customStyle="1" w:styleId="TableBodyTextRight">
    <w:name w:val="Table Body Text Right"/>
    <w:basedOn w:val="TableBodyText"/>
    <w:rsid w:val="00263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F41"/>
    <w:rPr>
      <w:sz w:val="18"/>
    </w:rPr>
  </w:style>
  <w:style w:type="paragraph" w:customStyle="1" w:styleId="BodySmallRight">
    <w:name w:val="Body Small Right"/>
    <w:basedOn w:val="BodyTextRight"/>
    <w:rsid w:val="00263F41"/>
    <w:rPr>
      <w:sz w:val="18"/>
      <w:szCs w:val="18"/>
    </w:rPr>
  </w:style>
  <w:style w:type="paragraph" w:customStyle="1" w:styleId="MarginEdition">
    <w:name w:val="Margin Edition"/>
    <w:basedOn w:val="MarginNote"/>
    <w:rsid w:val="00263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F41"/>
    <w:rPr>
      <w:sz w:val="2"/>
      <w:szCs w:val="2"/>
    </w:rPr>
  </w:style>
  <w:style w:type="character" w:customStyle="1" w:styleId="Small">
    <w:name w:val="Small"/>
    <w:basedOn w:val="DefaultParagraphFont"/>
    <w:rsid w:val="00263F41"/>
    <w:rPr>
      <w:sz w:val="16"/>
    </w:rPr>
  </w:style>
  <w:style w:type="paragraph" w:customStyle="1" w:styleId="WideTable">
    <w:name w:val="Wide Table"/>
    <w:basedOn w:val="Normal"/>
    <w:rsid w:val="00263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F41"/>
  </w:style>
  <w:style w:type="paragraph" w:styleId="Quote">
    <w:name w:val="Quote"/>
    <w:basedOn w:val="Heading1"/>
    <w:link w:val="QuoteChar"/>
    <w:qFormat/>
    <w:rsid w:val="00263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F41"/>
    <w:pPr>
      <w:pageBreakBefore/>
    </w:pPr>
  </w:style>
  <w:style w:type="paragraph" w:customStyle="1" w:styleId="Border">
    <w:name w:val="Border"/>
    <w:basedOn w:val="Normal"/>
    <w:qFormat/>
    <w:rsid w:val="00263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F41"/>
    <w:rPr>
      <w:u w:val="single"/>
    </w:rPr>
  </w:style>
  <w:style w:type="character" w:customStyle="1" w:styleId="BoldandItalics">
    <w:name w:val="Bold and Italics"/>
    <w:qFormat/>
    <w:rsid w:val="00263F41"/>
    <w:rPr>
      <w:b/>
      <w:i/>
      <w:u w:val="none"/>
    </w:rPr>
  </w:style>
  <w:style w:type="paragraph" w:styleId="BalloonText">
    <w:name w:val="Balloon Text"/>
    <w:basedOn w:val="Normal"/>
    <w:link w:val="BalloonTextChar"/>
    <w:rsid w:val="00263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F41"/>
    <w:pPr>
      <w:spacing w:before="0" w:after="0"/>
    </w:pPr>
  </w:style>
  <w:style w:type="paragraph" w:customStyle="1" w:styleId="BodyTextBold">
    <w:name w:val="Body Text Bold"/>
    <w:basedOn w:val="BodyText"/>
    <w:qFormat/>
    <w:rsid w:val="00263F41"/>
    <w:rPr>
      <w:b/>
    </w:rPr>
  </w:style>
  <w:style w:type="character" w:styleId="Hyperlink">
    <w:name w:val="Hyperlink"/>
    <w:basedOn w:val="DefaultParagraphFont"/>
    <w:uiPriority w:val="99"/>
    <w:unhideWhenUsed/>
    <w:rsid w:val="00972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3908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SITEEVT031 Determine event feasibility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