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C09" w:rsidP="008B6C09">
      <w:pPr>
        <w:pStyle w:val="Title"/>
      </w:pPr>
      <w:r>
        <w:fldChar w:fldCharType="begin"/>
      </w:r>
      <w:r>
        <w:instrText xml:space="preserve"> TITLE   \* MERGEFORMAT </w:instrText>
      </w:r>
      <w:r>
        <w:fldChar w:fldCharType="separate"/>
      </w:r>
      <w:r>
        <w:t>SITEEVT031 Determine event feasibility</w:t>
      </w:r>
      <w:r>
        <w:fldChar w:fldCharType="end"/>
      </w:r>
    </w:p>
    <w:p w:rsidR="008B6C09" w:rsidP="008B6C09">
      <w:pPr>
        <w:pStyle w:val="Version"/>
        <w:sectPr w:rsidSect="005309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09A4" w:rsidP="005309A4">
      <w:pPr>
        <w:pStyle w:val="SuperHeading"/>
      </w:pPr>
      <w:r w:rsidRPr="005309A4">
        <w:t>SITEEVT031 Determine event feasibility</w:t>
      </w:r>
    </w:p>
    <w:p w:rsidR="00000000" w:rsidRPr="005309A4" w:rsidP="005309A4">
      <w:pPr>
        <w:pStyle w:val="Heading1"/>
      </w:pPr>
      <w:bookmarkStart w:id="1" w:name="O_1229013"/>
      <w:bookmarkEnd w:id="1"/>
      <w:r w:rsidRPr="005309A4">
        <w:t>Modification History</w:t>
      </w:r>
    </w:p>
    <w:p w:rsidR="00000000" w:rsidRPr="005309A4" w:rsidP="008B6C09">
      <w:pPr>
        <w:pStyle w:val="BodyText"/>
      </w:pPr>
      <w:r w:rsidRPr="005309A4">
        <w:t>Not applicable.</w:t>
      </w:r>
    </w:p>
    <w:p w:rsidR="00000000" w:rsidRPr="005309A4" w:rsidP="005309A4">
      <w:pPr>
        <w:pStyle w:val="Heading1"/>
      </w:pPr>
      <w:bookmarkStart w:id="2" w:name="O_1229020"/>
      <w:bookmarkEnd w:id="2"/>
      <w:r w:rsidRPr="005309A4">
        <w:t>Application</w:t>
      </w:r>
    </w:p>
    <w:p w:rsidR="00000000" w:rsidRPr="005309A4" w:rsidP="008B6C09">
      <w:pPr>
        <w:pStyle w:val="BodyText"/>
      </w:pPr>
      <w:r w:rsidRPr="005309A4">
        <w:t xml:space="preserve">This unit describes the performance outcomes, skills and knowledge required to assess the viability of a proposed event, and develop recommendations and models for its future planning and </w:t>
      </w:r>
      <w:r w:rsidRPr="005309A4">
        <w:t>operation. It requires the ability to use advanced research, analytical and communication skills combined with a detailed knowledge of the event management process. Event feasibility may be determined after, or in parallel with, the creation of the initial</w:t>
      </w:r>
      <w:r w:rsidRPr="005309A4">
        <w:t xml:space="preserve"> event concept.</w:t>
      </w:r>
    </w:p>
    <w:p w:rsidR="00000000" w:rsidRPr="005309A4" w:rsidP="008B6C09">
      <w:pPr>
        <w:pStyle w:val="BodyText"/>
      </w:pPr>
      <w:r w:rsidRPr="005309A4">
        <w:t>This unit is relevant to events that are diverse in nature and are coordinated in many industry contexts, including the tourism, hospitality, sport, cultural and community sectors.</w:t>
      </w:r>
    </w:p>
    <w:p w:rsidR="00000000" w:rsidRPr="005309A4" w:rsidP="008B6C09">
      <w:pPr>
        <w:pStyle w:val="BodyText"/>
      </w:pPr>
      <w:r w:rsidRPr="005309A4">
        <w:t>It applies to event managers who operate with significant a</w:t>
      </w:r>
      <w:r w:rsidRPr="005309A4">
        <w:t>utonomy and who are responsible for making a range of strategic event management decisions. They may work in event management companies, in event venues, or in organisations that organise their own events.</w:t>
      </w:r>
    </w:p>
    <w:p w:rsidR="00000000" w:rsidRPr="005309A4" w:rsidP="008B6C09">
      <w:pPr>
        <w:pStyle w:val="BodyText"/>
      </w:pPr>
      <w:r w:rsidRPr="005309A4">
        <w:t>The skills in this unit of competency must be appl</w:t>
      </w:r>
      <w:r w:rsidRPr="005309A4">
        <w:t>ied in accordance with Commonwealth and State/Territory legislation, Australian standards and industry codes of practice.</w:t>
      </w:r>
    </w:p>
    <w:p w:rsidR="00000000" w:rsidRPr="005309A4" w:rsidP="008B6C09">
      <w:pPr>
        <w:pStyle w:val="BodyText"/>
      </w:pPr>
      <w:r w:rsidRPr="005309A4">
        <w:t>No occupational licensing, certification or specific legislative requirements apply to this unit at the time of publication.</w:t>
      </w:r>
    </w:p>
    <w:p w:rsidR="00000000" w:rsidRPr="005309A4" w:rsidP="005309A4">
      <w:pPr>
        <w:pStyle w:val="Heading1"/>
      </w:pPr>
      <w:bookmarkStart w:id="3" w:name="O_1229019"/>
      <w:bookmarkEnd w:id="3"/>
      <w:r w:rsidRPr="005309A4">
        <w:t>Pre-requisite Unit</w:t>
      </w:r>
    </w:p>
    <w:p w:rsidR="00000000" w:rsidRPr="005309A4" w:rsidP="008B6C09">
      <w:pPr>
        <w:pStyle w:val="BodyText"/>
      </w:pPr>
      <w:r w:rsidRPr="005309A4">
        <w:t>Nil</w:t>
      </w:r>
    </w:p>
    <w:p w:rsidR="00000000" w:rsidRPr="005309A4" w:rsidP="005309A4">
      <w:pPr>
        <w:pStyle w:val="Heading1"/>
      </w:pPr>
      <w:bookmarkStart w:id="4" w:name="O_1229018"/>
      <w:bookmarkEnd w:id="4"/>
      <w:r w:rsidRPr="005309A4">
        <w:t>Competency Field</w:t>
      </w:r>
    </w:p>
    <w:p w:rsidR="00000000" w:rsidRPr="005309A4" w:rsidP="005309A4">
      <w:pPr>
        <w:pStyle w:val="Heading1"/>
      </w:pPr>
      <w:bookmarkStart w:id="5" w:name="O_1229017"/>
      <w:bookmarkEnd w:id="5"/>
      <w:r w:rsidRPr="005309A4">
        <w:t>Unit Sector</w:t>
      </w:r>
    </w:p>
    <w:p w:rsidR="00000000" w:rsidRPr="005309A4" w:rsidP="008B6C09">
      <w:pPr>
        <w:pStyle w:val="BodyText"/>
      </w:pPr>
      <w:r w:rsidRPr="005309A4">
        <w:t>Events</w:t>
      </w:r>
    </w:p>
    <w:p w:rsidR="00000000" w:rsidRPr="005309A4" w:rsidP="005309A4">
      <w:pPr>
        <w:pStyle w:val="Heading1"/>
      </w:pPr>
      <w:bookmarkStart w:id="6" w:name="O_1229016"/>
      <w:bookmarkEnd w:id="6"/>
      <w:r w:rsidRPr="005309A4">
        <w:t>Elements and Performance Criteria</w:t>
      </w:r>
    </w:p>
    <w:tbl>
      <w:tblPr>
        <w:tblW w:w="0" w:type="auto"/>
        <w:tblLayout w:type="fixed"/>
        <w:tblCellMar>
          <w:left w:w="62" w:type="dxa"/>
          <w:right w:w="62" w:type="dxa"/>
        </w:tblCellMar>
        <w:tblLook w:val="0000"/>
      </w:tblPr>
      <w:tblGrid>
        <w:gridCol w:w="2694"/>
        <w:gridCol w:w="6350"/>
      </w:tblGrid>
      <w:tr w:rsidTr="005309A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309A4" w:rsidP="005309A4">
            <w:pPr>
              <w:pStyle w:val="BodyText"/>
            </w:pPr>
            <w:r w:rsidRPr="005309A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309A4">
            <w:pPr>
              <w:pStyle w:val="BodyText"/>
              <w:rPr>
                <w:lang w:val="en-NZ"/>
              </w:rPr>
            </w:pPr>
            <w:r w:rsidRPr="005309A4">
              <w:rPr>
                <w:rStyle w:val="SpecialBold"/>
              </w:rPr>
              <w:t>PERFORMANCE</w:t>
            </w:r>
            <w:r w:rsidRPr="005309A4">
              <w:t xml:space="preserve"> </w:t>
            </w:r>
            <w:r w:rsidRPr="005309A4">
              <w:rPr>
                <w:rStyle w:val="SpecialBold"/>
              </w:rPr>
              <w:t>CRITERIA</w:t>
            </w:r>
          </w:p>
        </w:tc>
      </w:tr>
      <w:tr w:rsidTr="005309A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309A4" w:rsidP="005309A4">
            <w:pPr>
              <w:pStyle w:val="BodyText"/>
            </w:pPr>
            <w:r w:rsidRPr="005309A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309A4">
            <w:pPr>
              <w:pStyle w:val="BodyText"/>
              <w:rPr>
                <w:lang w:val="en-NZ"/>
              </w:rPr>
            </w:pPr>
            <w:r w:rsidRPr="005309A4">
              <w:rPr>
                <w:rStyle w:val="Emphasis"/>
              </w:rPr>
              <w:t>Performance criteria describe the performance needed to demonstrate achievement of the element.</w:t>
            </w:r>
          </w:p>
        </w:tc>
      </w:tr>
      <w:tr w:rsidTr="005309A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309A4">
            <w:pPr>
              <w:pStyle w:val="List"/>
              <w:rPr>
                <w:lang w:val="en-NZ"/>
              </w:rPr>
            </w:pPr>
            <w:r w:rsidRPr="005309A4">
              <w:t xml:space="preserve">1.  Analyse event context </w:t>
            </w:r>
            <w:r w:rsidRPr="005309A4">
              <w:t>and rationale.</w:t>
            </w:r>
          </w:p>
        </w:tc>
        <w:tc>
          <w:tcPr>
            <w:tcW w:w="6350" w:type="dxa"/>
            <w:tcBorders>
              <w:top w:val="nil"/>
              <w:left w:val="nil"/>
              <w:bottom w:val="nil"/>
              <w:right w:val="nil"/>
            </w:tcBorders>
            <w:tcMar>
              <w:top w:w="0" w:type="dxa"/>
              <w:left w:w="62" w:type="dxa"/>
              <w:bottom w:w="0" w:type="dxa"/>
              <w:right w:w="62" w:type="dxa"/>
            </w:tcMar>
          </w:tcPr>
          <w:p w:rsidR="00000000" w:rsidRPr="005309A4" w:rsidP="005309A4">
            <w:pPr>
              <w:pStyle w:val="List"/>
            </w:pPr>
            <w:r w:rsidRPr="005309A4">
              <w:t xml:space="preserve">1.1. Confirm event rationale and objectives through consultation </w:t>
            </w:r>
            <w:r w:rsidRPr="005309A4">
              <w:t>with key stakeholders and evaluation of event concept</w:t>
            </w:r>
            <w:r w:rsidRPr="005309A4">
              <w:t xml:space="preserve"> information.</w:t>
            </w:r>
          </w:p>
          <w:p w:rsidR="00000000" w:rsidRPr="005309A4" w:rsidP="005309A4">
            <w:pPr>
              <w:pStyle w:val="List"/>
            </w:pPr>
            <w:r w:rsidRPr="005309A4">
              <w:t>1.2. Determine place of proposed event in relation to other events and its economic, environmental and social sustainability.</w:t>
            </w:r>
          </w:p>
          <w:p w:rsidR="00000000" w:rsidRPr="005309A4" w:rsidP="005309A4">
            <w:pPr>
              <w:pStyle w:val="List"/>
            </w:pPr>
            <w:r w:rsidRPr="005309A4">
              <w:t>1.3. Assess marketability of proposed event through research and consultation.</w:t>
            </w:r>
          </w:p>
          <w:p w:rsidR="00000000" w:rsidP="005309A4">
            <w:pPr>
              <w:pStyle w:val="List"/>
              <w:rPr>
                <w:lang w:val="en-NZ"/>
              </w:rPr>
            </w:pPr>
            <w:r w:rsidRPr="005309A4">
              <w:t>1.4. Evaluate internal and external f</w:t>
            </w:r>
            <w:r w:rsidRPr="005309A4">
              <w:t>actors that impact on viability of proposed event.</w:t>
            </w:r>
          </w:p>
        </w:tc>
      </w:tr>
      <w:tr w:rsidTr="005309A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309A4">
            <w:pPr>
              <w:pStyle w:val="List"/>
              <w:rPr>
                <w:lang w:val="en-NZ"/>
              </w:rPr>
            </w:pPr>
            <w:r w:rsidRPr="005309A4">
              <w:t>2.  Assess resource requirements and opportunities.</w:t>
            </w:r>
          </w:p>
        </w:tc>
        <w:tc>
          <w:tcPr>
            <w:tcW w:w="6350" w:type="dxa"/>
            <w:tcBorders>
              <w:top w:val="nil"/>
              <w:left w:val="nil"/>
              <w:bottom w:val="nil"/>
              <w:right w:val="nil"/>
            </w:tcBorders>
            <w:tcMar>
              <w:top w:w="0" w:type="dxa"/>
              <w:left w:w="62" w:type="dxa"/>
              <w:bottom w:w="0" w:type="dxa"/>
              <w:right w:w="62" w:type="dxa"/>
            </w:tcMar>
          </w:tcPr>
          <w:p w:rsidR="00000000" w:rsidRPr="005309A4" w:rsidP="005309A4">
            <w:pPr>
              <w:pStyle w:val="List"/>
            </w:pPr>
            <w:r w:rsidRPr="005309A4">
              <w:t>2.1. Develop complete and realistic estimates of primary event costs based on breakdown of all event components.</w:t>
            </w:r>
          </w:p>
          <w:p w:rsidR="00000000" w:rsidRPr="005309A4" w:rsidP="005309A4">
            <w:pPr>
              <w:pStyle w:val="List"/>
            </w:pPr>
            <w:r w:rsidRPr="005309A4">
              <w:t>2.2. Identify potential sou</w:t>
            </w:r>
            <w:r w:rsidRPr="005309A4">
              <w:t>rces of revenue and other resources, and develop realistic estimates.</w:t>
            </w:r>
          </w:p>
          <w:p w:rsidR="00000000" w:rsidP="005309A4">
            <w:pPr>
              <w:pStyle w:val="List"/>
              <w:rPr>
                <w:lang w:val="en-NZ"/>
              </w:rPr>
            </w:pPr>
            <w:r w:rsidRPr="005309A4">
              <w:t>2.3. Test and explore different resource scenarios with a range of possible event models.</w:t>
            </w:r>
          </w:p>
        </w:tc>
      </w:tr>
      <w:tr w:rsidTr="005309A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309A4">
            <w:pPr>
              <w:pStyle w:val="List"/>
              <w:rPr>
                <w:lang w:val="en-NZ"/>
              </w:rPr>
            </w:pPr>
            <w:r w:rsidRPr="005309A4">
              <w:t>3.  Evaluate planning and operational requirements.</w:t>
            </w:r>
          </w:p>
        </w:tc>
        <w:tc>
          <w:tcPr>
            <w:tcW w:w="6350" w:type="dxa"/>
            <w:tcBorders>
              <w:top w:val="nil"/>
              <w:left w:val="nil"/>
              <w:bottom w:val="nil"/>
              <w:right w:val="nil"/>
            </w:tcBorders>
            <w:tcMar>
              <w:top w:w="0" w:type="dxa"/>
              <w:left w:w="62" w:type="dxa"/>
              <w:bottom w:w="0" w:type="dxa"/>
              <w:right w:w="62" w:type="dxa"/>
            </w:tcMar>
          </w:tcPr>
          <w:p w:rsidR="00000000" w:rsidRPr="005309A4" w:rsidP="005309A4">
            <w:pPr>
              <w:pStyle w:val="List"/>
            </w:pPr>
            <w:r w:rsidRPr="005309A4">
              <w:t>3.1. Analyse overall event planning and man</w:t>
            </w:r>
            <w:r w:rsidRPr="005309A4">
              <w:t>agement requirements.</w:t>
            </w:r>
          </w:p>
          <w:p w:rsidR="00000000" w:rsidRPr="005309A4" w:rsidP="005309A4">
            <w:pPr>
              <w:pStyle w:val="List"/>
            </w:pPr>
            <w:r w:rsidRPr="005309A4">
              <w:t>3.2. Evaluate operational requirements for each event component.</w:t>
            </w:r>
          </w:p>
          <w:p w:rsidR="00000000" w:rsidRPr="005309A4" w:rsidP="005309A4">
            <w:pPr>
              <w:pStyle w:val="List"/>
            </w:pPr>
            <w:r w:rsidRPr="005309A4">
              <w:t>3.3. Identify compliance requirements and impact on event management and operations.</w:t>
            </w:r>
          </w:p>
          <w:p w:rsidR="00000000" w:rsidP="005309A4">
            <w:pPr>
              <w:pStyle w:val="List"/>
              <w:rPr>
                <w:lang w:val="en-NZ"/>
              </w:rPr>
            </w:pPr>
            <w:r w:rsidRPr="005309A4">
              <w:t>3.4. Consider and develop opportunities to enhance sustainability.</w:t>
            </w:r>
          </w:p>
        </w:tc>
      </w:tr>
      <w:tr w:rsidTr="005309A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309A4">
            <w:pPr>
              <w:pStyle w:val="List"/>
              <w:rPr>
                <w:lang w:val="en-NZ"/>
              </w:rPr>
            </w:pPr>
            <w:r w:rsidRPr="005309A4">
              <w:t>4.  Develop reco</w:t>
            </w:r>
            <w:r w:rsidRPr="005309A4">
              <w:t>mmendations and models.</w:t>
            </w:r>
          </w:p>
        </w:tc>
        <w:tc>
          <w:tcPr>
            <w:tcW w:w="6350" w:type="dxa"/>
            <w:tcBorders>
              <w:top w:val="nil"/>
              <w:left w:val="nil"/>
              <w:bottom w:val="nil"/>
              <w:right w:val="nil"/>
            </w:tcBorders>
            <w:tcMar>
              <w:top w:w="0" w:type="dxa"/>
              <w:left w:w="62" w:type="dxa"/>
              <w:bottom w:w="0" w:type="dxa"/>
              <w:right w:w="62" w:type="dxa"/>
            </w:tcMar>
          </w:tcPr>
          <w:p w:rsidR="00000000" w:rsidRPr="005309A4" w:rsidP="005309A4">
            <w:pPr>
              <w:pStyle w:val="List"/>
            </w:pPr>
            <w:r w:rsidRPr="005309A4">
              <w:t>4.1. Develop positions and recommendations based on outcomes of analysis.</w:t>
            </w:r>
          </w:p>
          <w:p w:rsidR="00000000" w:rsidRPr="005309A4" w:rsidP="005309A4">
            <w:pPr>
              <w:pStyle w:val="List"/>
            </w:pPr>
            <w:r w:rsidRPr="005309A4">
              <w:t>4.2. Develop planning, management and operational recommendations for overall event and key event components.</w:t>
            </w:r>
          </w:p>
          <w:p w:rsidR="00000000" w:rsidRPr="005309A4" w:rsidP="005309A4">
            <w:pPr>
              <w:pStyle w:val="List"/>
            </w:pPr>
            <w:r w:rsidRPr="005309A4">
              <w:t>4.3. Clearly articulate contingency planning req</w:t>
            </w:r>
            <w:r w:rsidRPr="005309A4">
              <w:t>uirements.</w:t>
            </w:r>
          </w:p>
          <w:p w:rsidR="00000000" w:rsidRPr="005309A4" w:rsidP="005309A4">
            <w:pPr>
              <w:pStyle w:val="List"/>
            </w:pPr>
            <w:r w:rsidRPr="005309A4">
              <w:t>4.4. Present accurate and complete income and expenditure estimates to inform future decision making.</w:t>
            </w:r>
          </w:p>
          <w:p w:rsidR="00000000" w:rsidRPr="005309A4" w:rsidP="005309A4">
            <w:pPr>
              <w:pStyle w:val="List"/>
            </w:pPr>
            <w:r w:rsidRPr="005309A4">
              <w:t>4.5. Offer different models and options, and provide details of benefits and risks of suggested models.</w:t>
            </w:r>
          </w:p>
          <w:p w:rsidR="00000000" w:rsidRPr="005309A4" w:rsidP="005309A4">
            <w:pPr>
              <w:pStyle w:val="List"/>
            </w:pPr>
            <w:r w:rsidRPr="005309A4">
              <w:t>4.6. Present key stakeholders with feas</w:t>
            </w:r>
            <w:r w:rsidRPr="005309A4">
              <w:t>ibility outcomes in appropriate format.</w:t>
            </w:r>
          </w:p>
        </w:tc>
      </w:tr>
    </w:tbl>
    <w:p w:rsidR="00000000" w:rsidRPr="005309A4" w:rsidP="005309A4">
      <w:pPr>
        <w:pStyle w:val="BodyText"/>
      </w:pPr>
    </w:p>
    <w:p w:rsidR="00000000" w:rsidRPr="005309A4" w:rsidP="005309A4">
      <w:pPr>
        <w:pStyle w:val="AllowPageBreak"/>
      </w:pPr>
    </w:p>
    <w:p w:rsidR="00000000" w:rsidRPr="005309A4" w:rsidP="005309A4">
      <w:pPr>
        <w:pStyle w:val="Heading1"/>
      </w:pPr>
      <w:bookmarkStart w:id="7" w:name="O_1229015"/>
      <w:bookmarkEnd w:id="7"/>
      <w:r w:rsidRPr="005309A4">
        <w:t>Foundation Skills</w:t>
      </w:r>
    </w:p>
    <w:tbl>
      <w:tblPr>
        <w:tblW w:w="0" w:type="auto"/>
        <w:tblLayout w:type="fixed"/>
        <w:tblCellMar>
          <w:left w:w="62" w:type="dxa"/>
          <w:right w:w="62" w:type="dxa"/>
        </w:tblCellMar>
        <w:tblLook w:val="0000"/>
      </w:tblPr>
      <w:tblGrid>
        <w:gridCol w:w="2694"/>
        <w:gridCol w:w="6350"/>
      </w:tblGrid>
      <w:tr w:rsidTr="005309A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309A4">
            <w:pPr>
              <w:pStyle w:val="BodyText"/>
              <w:rPr>
                <w:lang w:val="en-NZ"/>
              </w:rPr>
            </w:pPr>
            <w:r w:rsidRPr="005309A4">
              <w:rPr>
                <w:rStyle w:val="Emphasis"/>
              </w:rPr>
              <w:t>Foundation skills essential to performance in this unit, but not explicit in the performance criteria are listed here, along with a brief context statement.</w:t>
            </w:r>
          </w:p>
        </w:tc>
      </w:tr>
      <w:tr w:rsidTr="005309A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309A4" w:rsidP="005309A4">
            <w:pPr>
              <w:pStyle w:val="BodyText"/>
            </w:pPr>
            <w:r w:rsidRPr="005309A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309A4">
            <w:pPr>
              <w:pStyle w:val="BodyText"/>
              <w:rPr>
                <w:lang w:val="en-NZ"/>
              </w:rPr>
            </w:pPr>
            <w:r w:rsidRPr="005309A4">
              <w:rPr>
                <w:rStyle w:val="SpecialBold"/>
              </w:rPr>
              <w:t>DESCRIPTION</w:t>
            </w:r>
          </w:p>
        </w:tc>
      </w:tr>
      <w:tr w:rsidTr="005309A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309A4">
            <w:pPr>
              <w:pStyle w:val="BodyText"/>
              <w:rPr>
                <w:lang w:val="en-NZ"/>
              </w:rPr>
            </w:pPr>
            <w:r w:rsidRPr="005309A4">
              <w:t>Reading skills to:</w:t>
            </w:r>
          </w:p>
        </w:tc>
        <w:tc>
          <w:tcPr>
            <w:tcW w:w="6350" w:type="dxa"/>
            <w:tcBorders>
              <w:top w:val="nil"/>
              <w:left w:val="nil"/>
              <w:bottom w:val="nil"/>
              <w:right w:val="nil"/>
            </w:tcBorders>
            <w:tcMar>
              <w:top w:w="0" w:type="dxa"/>
              <w:left w:w="62" w:type="dxa"/>
              <w:bottom w:w="0" w:type="dxa"/>
              <w:right w:w="62" w:type="dxa"/>
            </w:tcMar>
          </w:tcPr>
          <w:p w:rsidR="00000000" w:rsidP="005309A4">
            <w:pPr>
              <w:pStyle w:val="ListBullet"/>
              <w:rPr>
                <w:lang w:val="en-NZ"/>
              </w:rPr>
            </w:pPr>
            <w:r w:rsidRPr="005309A4">
              <w:t>analyse complex event information.</w:t>
            </w:r>
          </w:p>
        </w:tc>
      </w:tr>
      <w:tr w:rsidTr="005309A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309A4">
            <w:pPr>
              <w:pStyle w:val="BodyText"/>
              <w:rPr>
                <w:lang w:val="en-NZ"/>
              </w:rPr>
            </w:pPr>
            <w:r w:rsidRPr="005309A4">
              <w:t>Writing skills to:</w:t>
            </w:r>
          </w:p>
        </w:tc>
        <w:tc>
          <w:tcPr>
            <w:tcW w:w="6350" w:type="dxa"/>
            <w:tcBorders>
              <w:top w:val="nil"/>
              <w:left w:val="nil"/>
              <w:bottom w:val="nil"/>
              <w:right w:val="nil"/>
            </w:tcBorders>
            <w:tcMar>
              <w:top w:w="0" w:type="dxa"/>
              <w:left w:w="62" w:type="dxa"/>
              <w:bottom w:w="0" w:type="dxa"/>
              <w:right w:w="62" w:type="dxa"/>
            </w:tcMar>
          </w:tcPr>
          <w:p w:rsidR="00000000" w:rsidP="005309A4">
            <w:pPr>
              <w:pStyle w:val="ListBullet"/>
              <w:rPr>
                <w:lang w:val="en-NZ"/>
              </w:rPr>
            </w:pPr>
            <w:r w:rsidRPr="005309A4">
              <w:t>express complex arguments, scenarios and recommendations.</w:t>
            </w:r>
          </w:p>
        </w:tc>
      </w:tr>
      <w:tr w:rsidTr="005309A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309A4">
            <w:pPr>
              <w:pStyle w:val="BodyText"/>
              <w:rPr>
                <w:lang w:val="en-NZ"/>
              </w:rPr>
            </w:pPr>
            <w:r w:rsidRPr="005309A4">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5309A4">
            <w:pPr>
              <w:pStyle w:val="ListBullet"/>
              <w:rPr>
                <w:lang w:val="en-NZ"/>
              </w:rPr>
            </w:pPr>
            <w:r w:rsidRPr="005309A4">
              <w:t>consult and liaise with stakeholders on strategic event management proposals and issues.</w:t>
            </w:r>
          </w:p>
        </w:tc>
      </w:tr>
      <w:tr w:rsidTr="005309A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309A4">
            <w:pPr>
              <w:pStyle w:val="BodyText"/>
              <w:rPr>
                <w:lang w:val="en-NZ"/>
              </w:rPr>
            </w:pPr>
            <w:r w:rsidRPr="005309A4">
              <w:t>Problem-solving skills to:</w:t>
            </w:r>
          </w:p>
        </w:tc>
        <w:tc>
          <w:tcPr>
            <w:tcW w:w="6350" w:type="dxa"/>
            <w:tcBorders>
              <w:top w:val="nil"/>
              <w:left w:val="nil"/>
              <w:bottom w:val="nil"/>
              <w:right w:val="nil"/>
            </w:tcBorders>
            <w:tcMar>
              <w:top w:w="0" w:type="dxa"/>
              <w:left w:w="62" w:type="dxa"/>
              <w:bottom w:w="0" w:type="dxa"/>
              <w:right w:w="62" w:type="dxa"/>
            </w:tcMar>
          </w:tcPr>
          <w:p w:rsidR="00000000" w:rsidRPr="005309A4" w:rsidP="005309A4">
            <w:pPr>
              <w:pStyle w:val="ListBullet"/>
            </w:pPr>
            <w:r w:rsidRPr="005309A4">
              <w:t>analyse complex information from varying sources and develop strategic positions and recommendations as a result of analysis</w:t>
            </w:r>
          </w:p>
          <w:p w:rsidR="00000000" w:rsidP="005309A4">
            <w:pPr>
              <w:pStyle w:val="ListBullet"/>
              <w:rPr>
                <w:lang w:val="en-NZ"/>
              </w:rPr>
            </w:pPr>
            <w:r w:rsidRPr="005309A4">
              <w:t>develop strategic positions and recommendations.</w:t>
            </w:r>
          </w:p>
        </w:tc>
      </w:tr>
      <w:tr w:rsidTr="005309A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309A4">
            <w:pPr>
              <w:pStyle w:val="BodyText"/>
              <w:rPr>
                <w:lang w:val="en-NZ"/>
              </w:rPr>
            </w:pPr>
            <w:r w:rsidRPr="005309A4">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5309A4" w:rsidP="005309A4">
            <w:pPr>
              <w:pStyle w:val="ListBullet"/>
            </w:pPr>
            <w:r w:rsidRPr="005309A4">
              <w:t>develop innovative models and recommendations for event management.</w:t>
            </w:r>
          </w:p>
        </w:tc>
      </w:tr>
    </w:tbl>
    <w:p w:rsidR="00000000" w:rsidRPr="005309A4" w:rsidP="005309A4">
      <w:pPr>
        <w:pStyle w:val="BodyText"/>
      </w:pPr>
    </w:p>
    <w:p w:rsidR="00000000" w:rsidRPr="005309A4" w:rsidP="005309A4">
      <w:pPr>
        <w:pStyle w:val="AllowPageBreak"/>
      </w:pPr>
    </w:p>
    <w:p w:rsidR="00000000" w:rsidRPr="005309A4" w:rsidP="005309A4">
      <w:pPr>
        <w:pStyle w:val="Heading1"/>
      </w:pPr>
      <w:bookmarkStart w:id="8" w:name="O_1229014"/>
      <w:bookmarkEnd w:id="8"/>
      <w:r w:rsidRPr="005309A4">
        <w:t>Unit Mapping Information</w:t>
      </w:r>
    </w:p>
    <w:p w:rsidR="00000000" w:rsidRPr="005309A4" w:rsidP="008B6C09">
      <w:pPr>
        <w:pStyle w:val="BodyText"/>
      </w:pPr>
      <w:r w:rsidRPr="005309A4">
        <w:t>Supersedes and is equivalent to SITEEVT013 Determine event feasibility.</w:t>
      </w:r>
    </w:p>
    <w:p w:rsidR="00000000" w:rsidRPr="005309A4" w:rsidP="005309A4">
      <w:pPr>
        <w:pStyle w:val="Heading1"/>
      </w:pPr>
      <w:bookmarkStart w:id="9" w:name="O_1229007"/>
      <w:bookmarkEnd w:id="9"/>
      <w:r w:rsidRPr="005309A4">
        <w:t>Links</w:t>
      </w:r>
    </w:p>
    <w:p w:rsidR="00000000" w:rsidRPr="005309A4" w:rsidP="008B6C09">
      <w:pPr>
        <w:pStyle w:val="BodyText"/>
      </w:pPr>
      <w:r w:rsidRPr="005309A4">
        <w:t>Companion Volume implementation guides are fo</w:t>
      </w:r>
      <w:r w:rsidRPr="005309A4">
        <w:t xml:space="preserve">und in VETNet - </w:t>
      </w:r>
      <w:r>
        <w:fldChar w:fldCharType="begin"/>
      </w:r>
      <w:r>
        <w:instrText xml:space="preserve"> HYPERLINK "https://vetnet.gov.au/Pages/TrainingDocs.aspx?q=68c40a93-e51d-4e0f-bc06-899dff092694" </w:instrText>
      </w:r>
      <w:r>
        <w:fldChar w:fldCharType="separate"/>
      </w:r>
      <w:r w:rsidRPr="00CB1767">
        <w:rPr>
          <w:rStyle w:val="Hyperlink"/>
        </w:rPr>
        <w:t>https://vetnet.gov.au/Pages/TrainingDocs.aspx?q=68c40a93-e51d-4e0f-bc06-899dff092694</w:t>
      </w:r>
      <w:r>
        <w:fldChar w:fldCharType="end"/>
      </w:r>
    </w:p>
    <w:p w:rsidR="00000000" w:rsidRPr="005309A4" w:rsidP="008B6C09">
      <w:pPr>
        <w:pStyle w:val="BodyText"/>
        <w:sectPr w:rsidSect="005309A4">
          <w:headerReference w:type="default" r:id="rId10"/>
          <w:footerReference w:type="default" r:id="rId11"/>
          <w:pgSz w:w="11908" w:h="16833"/>
          <w:pgMar w:top="1702" w:right="1418" w:bottom="1702" w:left="1418" w:header="992" w:footer="992" w:gutter="0"/>
          <w:cols w:space="720"/>
          <w:noEndnote/>
          <w:docGrid w:linePitch="299"/>
        </w:sectPr>
      </w:pPr>
    </w:p>
    <w:p w:rsidR="00000000" w:rsidRPr="005309A4" w:rsidP="005309A4">
      <w:pPr>
        <w:pStyle w:val="SuperHeading"/>
      </w:pPr>
      <w:r w:rsidRPr="005309A4">
        <w:t>Assessment Requirements for SITEEVT031 Determine event feasibility</w:t>
      </w:r>
    </w:p>
    <w:p w:rsidR="00000000" w:rsidRPr="005309A4" w:rsidP="005309A4">
      <w:pPr>
        <w:pStyle w:val="Heading1"/>
      </w:pPr>
      <w:bookmarkStart w:id="10" w:name="O_1229009"/>
      <w:bookmarkEnd w:id="10"/>
      <w:r w:rsidRPr="005309A4">
        <w:t>Modification History</w:t>
      </w:r>
    </w:p>
    <w:p w:rsidR="00000000" w:rsidRPr="005309A4" w:rsidP="008B6C09">
      <w:pPr>
        <w:pStyle w:val="BodyText"/>
      </w:pPr>
      <w:r w:rsidRPr="005309A4">
        <w:t>Not applicable.</w:t>
      </w:r>
    </w:p>
    <w:p w:rsidR="00000000" w:rsidRPr="005309A4" w:rsidP="005309A4">
      <w:pPr>
        <w:pStyle w:val="Heading1"/>
      </w:pPr>
      <w:bookmarkStart w:id="11" w:name="O_1229012"/>
      <w:bookmarkEnd w:id="11"/>
      <w:r w:rsidRPr="005309A4">
        <w:t>Performance Evidence</w:t>
      </w:r>
    </w:p>
    <w:p w:rsidR="00000000" w:rsidRPr="005309A4" w:rsidP="008B6C09">
      <w:pPr>
        <w:pStyle w:val="BodyText"/>
      </w:pPr>
      <w:r w:rsidRPr="005309A4">
        <w:t>Evidence of the ability to complete tasks outlined in elements and performance criteria of this unit in the context of the job role, and:</w:t>
      </w:r>
    </w:p>
    <w:p w:rsidR="00000000" w:rsidRPr="005309A4" w:rsidP="005309A4">
      <w:pPr>
        <w:pStyle w:val="ListBullet"/>
      </w:pPr>
      <w:r w:rsidRPr="005309A4">
        <w:t xml:space="preserve">consult with stakeholders to clarify event rationale and context for two different events with multiple operational components </w:t>
      </w:r>
    </w:p>
    <w:p w:rsidR="00000000" w:rsidRPr="005309A4" w:rsidP="005309A4">
      <w:pPr>
        <w:pStyle w:val="ListBullet"/>
      </w:pPr>
      <w:r w:rsidRPr="005309A4">
        <w:t>undertake an analysis of each of the above events to determine the impact on the viability of each of the following internal and</w:t>
      </w:r>
      <w:r w:rsidRPr="005309A4">
        <w:t xml:space="preserve"> external factors:</w:t>
      </w:r>
    </w:p>
    <w:p w:rsidR="00000000" w:rsidRPr="005309A4" w:rsidP="005309A4">
      <w:pPr>
        <w:pStyle w:val="ListBullet2"/>
      </w:pPr>
      <w:r w:rsidRPr="005309A4">
        <w:t>competitor activity</w:t>
      </w:r>
    </w:p>
    <w:p w:rsidR="00000000" w:rsidRPr="005309A4" w:rsidP="005309A4">
      <w:pPr>
        <w:pStyle w:val="ListBullet2"/>
      </w:pPr>
      <w:r w:rsidRPr="005309A4">
        <w:t>industry context</w:t>
      </w:r>
    </w:p>
    <w:p w:rsidR="00000000" w:rsidRPr="005309A4" w:rsidP="005309A4">
      <w:pPr>
        <w:pStyle w:val="ListBullet2"/>
      </w:pPr>
      <w:r w:rsidRPr="005309A4">
        <w:t>management structure</w:t>
      </w:r>
    </w:p>
    <w:p w:rsidR="00000000" w:rsidRPr="005309A4" w:rsidP="005309A4">
      <w:pPr>
        <w:pStyle w:val="ListBullet2"/>
      </w:pPr>
      <w:r w:rsidRPr="005309A4">
        <w:t>organisation objectives</w:t>
      </w:r>
    </w:p>
    <w:p w:rsidR="00000000" w:rsidRPr="005309A4" w:rsidP="005309A4">
      <w:pPr>
        <w:pStyle w:val="ListBullet2"/>
      </w:pPr>
      <w:r w:rsidRPr="005309A4">
        <w:t>resource constraints</w:t>
      </w:r>
    </w:p>
    <w:p w:rsidR="00000000" w:rsidRPr="005309A4" w:rsidP="005309A4">
      <w:pPr>
        <w:pStyle w:val="ListBullet2"/>
      </w:pPr>
      <w:r w:rsidRPr="005309A4">
        <w:t>social, political or economic factors</w:t>
      </w:r>
    </w:p>
    <w:p w:rsidR="00000000" w:rsidRPr="005309A4" w:rsidP="005309A4">
      <w:pPr>
        <w:pStyle w:val="ListBullet"/>
      </w:pPr>
      <w:r w:rsidRPr="005309A4">
        <w:t>evaluate at least three of the following potential sources of revenue and other resources to maximise profitability of each above event:</w:t>
      </w:r>
    </w:p>
    <w:p w:rsidR="00000000" w:rsidRPr="005309A4" w:rsidP="005309A4">
      <w:pPr>
        <w:pStyle w:val="ListBullet2"/>
      </w:pPr>
      <w:r w:rsidRPr="005309A4">
        <w:t>community organisations</w:t>
      </w:r>
    </w:p>
    <w:p w:rsidR="00000000" w:rsidRPr="005309A4" w:rsidP="005309A4">
      <w:pPr>
        <w:pStyle w:val="ListBullet2"/>
      </w:pPr>
      <w:r w:rsidRPr="005309A4">
        <w:t>exhibitors</w:t>
      </w:r>
    </w:p>
    <w:p w:rsidR="00000000" w:rsidRPr="005309A4" w:rsidP="005309A4">
      <w:pPr>
        <w:pStyle w:val="ListBullet2"/>
      </w:pPr>
      <w:r w:rsidRPr="005309A4">
        <w:t>general public</w:t>
      </w:r>
    </w:p>
    <w:p w:rsidR="00000000" w:rsidRPr="005309A4" w:rsidP="005309A4">
      <w:pPr>
        <w:pStyle w:val="ListBullet2"/>
      </w:pPr>
      <w:r w:rsidRPr="005309A4">
        <w:t>government funding</w:t>
      </w:r>
    </w:p>
    <w:p w:rsidR="00000000" w:rsidRPr="005309A4" w:rsidP="005309A4">
      <w:pPr>
        <w:pStyle w:val="ListBullet2"/>
      </w:pPr>
      <w:r w:rsidRPr="005309A4">
        <w:t>grants</w:t>
      </w:r>
    </w:p>
    <w:p w:rsidR="00000000" w:rsidRPr="005309A4" w:rsidP="005309A4">
      <w:pPr>
        <w:pStyle w:val="ListBullet2"/>
      </w:pPr>
      <w:r w:rsidRPr="005309A4">
        <w:t>industry bodies</w:t>
      </w:r>
    </w:p>
    <w:p w:rsidR="00000000" w:rsidRPr="005309A4" w:rsidP="005309A4">
      <w:pPr>
        <w:pStyle w:val="ListBullet2"/>
      </w:pPr>
      <w:r w:rsidRPr="005309A4">
        <w:t>participating organisation</w:t>
      </w:r>
      <w:r w:rsidRPr="005309A4">
        <w:t>s</w:t>
      </w:r>
    </w:p>
    <w:p w:rsidR="00000000" w:rsidRPr="005309A4" w:rsidP="005309A4">
      <w:pPr>
        <w:pStyle w:val="ListBullet2"/>
      </w:pPr>
      <w:r w:rsidRPr="005309A4">
        <w:t>sponsors</w:t>
      </w:r>
    </w:p>
    <w:p w:rsidR="00000000" w:rsidRPr="005309A4" w:rsidP="005309A4">
      <w:pPr>
        <w:pStyle w:val="ListBullet"/>
      </w:pPr>
      <w:r w:rsidRPr="005309A4">
        <w:t>undertake an analysis of the planning, management and resource requirements as listed in the knowledge evidence for each of the above events</w:t>
      </w:r>
    </w:p>
    <w:p w:rsidR="00000000" w:rsidRPr="005309A4" w:rsidP="005309A4">
      <w:pPr>
        <w:pStyle w:val="ListBullet"/>
      </w:pPr>
      <w:r w:rsidRPr="005309A4">
        <w:t>for one of the above events, develop and present a position and recommendations from the event analysis that details the following:</w:t>
      </w:r>
    </w:p>
    <w:p w:rsidR="00000000" w:rsidRPr="005309A4" w:rsidP="005309A4">
      <w:pPr>
        <w:pStyle w:val="ListBullet2"/>
      </w:pPr>
      <w:r w:rsidRPr="005309A4">
        <w:t>planning, management and operational recommendations</w:t>
      </w:r>
    </w:p>
    <w:p w:rsidR="00000000" w:rsidRPr="005309A4" w:rsidP="005309A4">
      <w:pPr>
        <w:pStyle w:val="ListBullet2"/>
      </w:pPr>
      <w:r w:rsidRPr="005309A4">
        <w:t>contingency planning requirements</w:t>
      </w:r>
    </w:p>
    <w:p w:rsidR="00000000" w:rsidRPr="005309A4" w:rsidP="005309A4">
      <w:pPr>
        <w:pStyle w:val="ListBullet2"/>
      </w:pPr>
      <w:r w:rsidRPr="005309A4">
        <w:t>income and expenditure estimates</w:t>
      </w:r>
    </w:p>
    <w:p w:rsidR="00000000" w:rsidRPr="005309A4" w:rsidP="005309A4">
      <w:pPr>
        <w:pStyle w:val="ListBullet2"/>
      </w:pPr>
      <w:r w:rsidRPr="005309A4">
        <w:t>alt</w:t>
      </w:r>
      <w:r w:rsidRPr="005309A4">
        <w:t>ernative event models and options reflecting benefits and risks.</w:t>
      </w:r>
    </w:p>
    <w:p w:rsidR="00000000" w:rsidRPr="005309A4" w:rsidP="005309A4">
      <w:pPr>
        <w:pStyle w:val="AllowPageBreak"/>
      </w:pPr>
    </w:p>
    <w:p w:rsidR="00000000" w:rsidRPr="005309A4" w:rsidP="005309A4">
      <w:pPr>
        <w:pStyle w:val="Heading1"/>
      </w:pPr>
      <w:bookmarkStart w:id="12" w:name="O_1229011"/>
      <w:bookmarkEnd w:id="12"/>
      <w:r w:rsidRPr="005309A4">
        <w:t>Knowledge Evidence</w:t>
      </w:r>
    </w:p>
    <w:p w:rsidR="00000000" w:rsidRPr="005309A4" w:rsidP="008B6C09">
      <w:pPr>
        <w:pStyle w:val="BodyText"/>
      </w:pPr>
      <w:r w:rsidRPr="005309A4">
        <w:t>Demonstrated knowledge required to complete the tasks outlined in elements and performance criteria of this unit:</w:t>
      </w:r>
    </w:p>
    <w:p w:rsidR="00000000" w:rsidRPr="005309A4" w:rsidP="005309A4">
      <w:pPr>
        <w:pStyle w:val="ListBullet"/>
      </w:pPr>
      <w:r w:rsidRPr="005309A4">
        <w:t>features and formats for different eve</w:t>
      </w:r>
      <w:r w:rsidRPr="005309A4">
        <w:t>nt types:</w:t>
      </w:r>
    </w:p>
    <w:p w:rsidR="00000000" w:rsidRPr="005309A4" w:rsidP="005309A4">
      <w:pPr>
        <w:pStyle w:val="ListBullet2"/>
      </w:pPr>
      <w:r w:rsidRPr="005309A4">
        <w:t>internal and external factors specified in the performance evidence that impact on event feasibility and affect its management and operation</w:t>
      </w:r>
    </w:p>
    <w:p w:rsidR="00000000" w:rsidRPr="005309A4" w:rsidP="005309A4">
      <w:pPr>
        <w:pStyle w:val="ListBullet2"/>
      </w:pPr>
      <w:r w:rsidRPr="005309A4">
        <w:t>resource requirements for the overall production of complex events, and for specific event components</w:t>
      </w:r>
    </w:p>
    <w:p w:rsidR="00000000" w:rsidRPr="005309A4" w:rsidP="005309A4">
      <w:pPr>
        <w:pStyle w:val="ListBullet2"/>
      </w:pPr>
      <w:r w:rsidRPr="005309A4">
        <w:t>so</w:t>
      </w:r>
      <w:r w:rsidRPr="005309A4">
        <w:t>urces of potential revenue specified in the performance evidence for different types of events</w:t>
      </w:r>
    </w:p>
    <w:p w:rsidR="00000000" w:rsidRPr="005309A4" w:rsidP="005309A4">
      <w:pPr>
        <w:pStyle w:val="ListBullet"/>
      </w:pPr>
      <w:r w:rsidRPr="005309A4">
        <w:t>sources of events industry references and broader references that inform emerging and innovative practice in event management and operations</w:t>
      </w:r>
    </w:p>
    <w:p w:rsidR="00000000" w:rsidRPr="005309A4" w:rsidP="005309A4">
      <w:pPr>
        <w:pStyle w:val="ListBullet"/>
      </w:pPr>
      <w:r w:rsidRPr="005309A4">
        <w:t>current and emerging events industry trends across all areas of planning, management and operations:</w:t>
      </w:r>
    </w:p>
    <w:p w:rsidR="00000000" w:rsidRPr="005309A4" w:rsidP="005309A4">
      <w:pPr>
        <w:pStyle w:val="ListBullet2"/>
      </w:pPr>
      <w:r w:rsidRPr="005309A4">
        <w:t>marketing trends</w:t>
      </w:r>
    </w:p>
    <w:p w:rsidR="00000000" w:rsidRPr="005309A4" w:rsidP="005309A4">
      <w:pPr>
        <w:pStyle w:val="ListBullet2"/>
      </w:pPr>
      <w:r w:rsidRPr="005309A4">
        <w:t>management models</w:t>
      </w:r>
    </w:p>
    <w:p w:rsidR="00000000" w:rsidRPr="005309A4" w:rsidP="005309A4">
      <w:pPr>
        <w:pStyle w:val="ListBullet2"/>
      </w:pPr>
      <w:r w:rsidRPr="005309A4">
        <w:t>new technologies</w:t>
      </w:r>
    </w:p>
    <w:p w:rsidR="00000000" w:rsidRPr="005309A4" w:rsidP="005309A4">
      <w:pPr>
        <w:pStyle w:val="ListBullet2"/>
      </w:pPr>
      <w:r w:rsidRPr="005309A4">
        <w:t>sustainable event management</w:t>
      </w:r>
    </w:p>
    <w:p w:rsidR="00000000" w:rsidRPr="005309A4" w:rsidP="005309A4">
      <w:pPr>
        <w:pStyle w:val="ListBullet"/>
      </w:pPr>
      <w:r w:rsidRPr="005309A4">
        <w:t>planning, management and resource requirements for event:</w:t>
      </w:r>
    </w:p>
    <w:p w:rsidR="00000000" w:rsidRPr="005309A4" w:rsidP="005309A4">
      <w:pPr>
        <w:pStyle w:val="ListBullet2"/>
      </w:pPr>
      <w:r w:rsidRPr="005309A4">
        <w:t>administratio</w:t>
      </w:r>
      <w:r w:rsidRPr="005309A4">
        <w:t>n</w:t>
      </w:r>
    </w:p>
    <w:p w:rsidR="00000000" w:rsidRPr="005309A4" w:rsidP="005309A4">
      <w:pPr>
        <w:pStyle w:val="ListBullet2"/>
      </w:pPr>
      <w:r w:rsidRPr="005309A4">
        <w:t>marketing</w:t>
      </w:r>
    </w:p>
    <w:p w:rsidR="00000000" w:rsidRPr="005309A4" w:rsidP="005309A4">
      <w:pPr>
        <w:pStyle w:val="ListBullet2"/>
      </w:pPr>
      <w:r w:rsidRPr="005309A4">
        <w:t>management structures</w:t>
      </w:r>
    </w:p>
    <w:p w:rsidR="00000000" w:rsidRPr="005309A4" w:rsidP="005309A4">
      <w:pPr>
        <w:pStyle w:val="ListBullet2"/>
      </w:pPr>
      <w:r w:rsidRPr="005309A4">
        <w:t>financial, human and physical resources</w:t>
      </w:r>
    </w:p>
    <w:p w:rsidR="00000000" w:rsidRPr="005309A4" w:rsidP="005309A4">
      <w:pPr>
        <w:pStyle w:val="ListBullet2"/>
      </w:pPr>
      <w:r w:rsidRPr="005309A4">
        <w:t>profitability</w:t>
      </w:r>
    </w:p>
    <w:p w:rsidR="00000000" w:rsidRPr="005309A4" w:rsidP="005309A4">
      <w:pPr>
        <w:pStyle w:val="ListBullet2"/>
      </w:pPr>
      <w:r w:rsidRPr="005309A4">
        <w:t>sustainability</w:t>
      </w:r>
    </w:p>
    <w:p w:rsidR="00000000" w:rsidRPr="005309A4" w:rsidP="005309A4">
      <w:pPr>
        <w:pStyle w:val="ListBullet2"/>
      </w:pPr>
      <w:r w:rsidRPr="005309A4">
        <w:t>technology</w:t>
      </w:r>
    </w:p>
    <w:p w:rsidR="00000000" w:rsidRPr="005309A4" w:rsidP="005309A4">
      <w:pPr>
        <w:pStyle w:val="ListBullet"/>
      </w:pPr>
      <w:r w:rsidRPr="005309A4">
        <w:t>operational requirements for event components:</w:t>
      </w:r>
    </w:p>
    <w:p w:rsidR="00000000" w:rsidRPr="005309A4" w:rsidP="005309A4">
      <w:pPr>
        <w:pStyle w:val="ListBullet2"/>
      </w:pPr>
      <w:r w:rsidRPr="005309A4">
        <w:t>minimal impact practices for the construction, maintenance and disposal of event production components</w:t>
      </w:r>
    </w:p>
    <w:p w:rsidR="00000000" w:rsidRPr="005309A4" w:rsidP="005309A4">
      <w:pPr>
        <w:pStyle w:val="ListBullet2"/>
      </w:pPr>
      <w:r w:rsidRPr="005309A4">
        <w:t>paid and voluntary staff requirements</w:t>
      </w:r>
    </w:p>
    <w:p w:rsidR="00000000" w:rsidRPr="005309A4" w:rsidP="005309A4">
      <w:pPr>
        <w:pStyle w:val="ListBullet2"/>
      </w:pPr>
      <w:r w:rsidRPr="005309A4">
        <w:t>specialist assistance</w:t>
      </w:r>
    </w:p>
    <w:p w:rsidR="00000000" w:rsidRPr="005309A4" w:rsidP="005309A4">
      <w:pPr>
        <w:pStyle w:val="ListBullet2"/>
      </w:pPr>
      <w:r w:rsidRPr="005309A4">
        <w:t>production requirements:</w:t>
      </w:r>
    </w:p>
    <w:p w:rsidR="00000000" w:rsidRPr="005309A4" w:rsidP="005309A4">
      <w:pPr>
        <w:pStyle w:val="ListBullet3"/>
      </w:pPr>
      <w:r w:rsidRPr="005309A4">
        <w:t>catering</w:t>
      </w:r>
    </w:p>
    <w:p w:rsidR="00000000" w:rsidRPr="005309A4" w:rsidP="005309A4">
      <w:pPr>
        <w:pStyle w:val="ListBullet3"/>
      </w:pPr>
      <w:r w:rsidRPr="005309A4">
        <w:t>equipment</w:t>
      </w:r>
    </w:p>
    <w:p w:rsidR="00000000" w:rsidRPr="005309A4" w:rsidP="005309A4">
      <w:pPr>
        <w:pStyle w:val="ListBullet3"/>
      </w:pPr>
      <w:r w:rsidRPr="005309A4">
        <w:t>infrastructure</w:t>
      </w:r>
    </w:p>
    <w:p w:rsidR="00000000" w:rsidRPr="005309A4" w:rsidP="005309A4">
      <w:pPr>
        <w:pStyle w:val="ListBullet3"/>
      </w:pPr>
      <w:r w:rsidRPr="005309A4">
        <w:t>security</w:t>
      </w:r>
    </w:p>
    <w:p w:rsidR="00000000" w:rsidRPr="005309A4" w:rsidP="005309A4">
      <w:pPr>
        <w:pStyle w:val="ListBullet2"/>
      </w:pPr>
      <w:r w:rsidRPr="005309A4">
        <w:t>transport</w:t>
      </w:r>
    </w:p>
    <w:p w:rsidR="00000000" w:rsidRPr="005309A4" w:rsidP="005309A4">
      <w:pPr>
        <w:pStyle w:val="ListBullet"/>
      </w:pPr>
      <w:r w:rsidRPr="005309A4">
        <w:t>risk management considerations for event feasibility:</w:t>
      </w:r>
    </w:p>
    <w:p w:rsidR="00000000" w:rsidRPr="005309A4" w:rsidP="005309A4">
      <w:pPr>
        <w:pStyle w:val="ListBullet2"/>
      </w:pPr>
      <w:r w:rsidRPr="005309A4">
        <w:t>compliance</w:t>
      </w:r>
    </w:p>
    <w:p w:rsidR="00000000" w:rsidRPr="005309A4" w:rsidP="005309A4">
      <w:pPr>
        <w:pStyle w:val="ListBullet2"/>
      </w:pPr>
      <w:r w:rsidRPr="005309A4">
        <w:t>financial or commercial</w:t>
      </w:r>
    </w:p>
    <w:p w:rsidR="00000000" w:rsidRPr="005309A4" w:rsidP="005309A4">
      <w:pPr>
        <w:pStyle w:val="ListBullet2"/>
      </w:pPr>
      <w:r w:rsidRPr="005309A4">
        <w:t>licensing</w:t>
      </w:r>
    </w:p>
    <w:p w:rsidR="00000000" w:rsidRPr="005309A4" w:rsidP="005309A4">
      <w:pPr>
        <w:pStyle w:val="ListBullet2"/>
      </w:pPr>
      <w:r w:rsidRPr="005309A4">
        <w:t>operational</w:t>
      </w:r>
    </w:p>
    <w:p w:rsidR="00000000" w:rsidRPr="005309A4" w:rsidP="005309A4">
      <w:pPr>
        <w:pStyle w:val="ListBullet2"/>
      </w:pPr>
      <w:r w:rsidRPr="005309A4">
        <w:t>safety</w:t>
      </w:r>
    </w:p>
    <w:p w:rsidR="00000000" w:rsidRPr="005309A4" w:rsidP="005309A4">
      <w:pPr>
        <w:pStyle w:val="ListBullet2"/>
      </w:pPr>
      <w:r w:rsidRPr="005309A4">
        <w:t>security</w:t>
      </w:r>
    </w:p>
    <w:p w:rsidR="00000000" w:rsidRPr="005309A4" w:rsidP="005309A4">
      <w:pPr>
        <w:pStyle w:val="ListBullet"/>
      </w:pPr>
      <w:r w:rsidRPr="005309A4">
        <w:t>different formats and inclusions for the presentation of an event feasibility analysis</w:t>
      </w:r>
    </w:p>
    <w:p w:rsidR="00000000" w:rsidRPr="005309A4" w:rsidP="005309A4">
      <w:pPr>
        <w:pStyle w:val="ListBullet"/>
      </w:pPr>
      <w:r w:rsidRPr="005309A4">
        <w:t>organisational procedures for evaluation.</w:t>
      </w:r>
    </w:p>
    <w:p w:rsidR="00000000" w:rsidRPr="005309A4" w:rsidP="005309A4">
      <w:pPr>
        <w:pStyle w:val="AllowPageBreak"/>
      </w:pPr>
    </w:p>
    <w:p w:rsidR="00000000" w:rsidRPr="005309A4" w:rsidP="005309A4">
      <w:pPr>
        <w:pStyle w:val="Heading1"/>
      </w:pPr>
      <w:bookmarkStart w:id="13" w:name="O_1229010"/>
      <w:bookmarkEnd w:id="13"/>
      <w:r w:rsidRPr="005309A4">
        <w:t>Assessment Conditions</w:t>
      </w:r>
    </w:p>
    <w:p w:rsidR="00000000" w:rsidRPr="005309A4" w:rsidP="008B6C09">
      <w:pPr>
        <w:pStyle w:val="BodyText"/>
      </w:pPr>
      <w:r w:rsidRPr="005309A4">
        <w:t>Skills must be demonstrated in:</w:t>
      </w:r>
    </w:p>
    <w:p w:rsidR="00000000" w:rsidRPr="005309A4" w:rsidP="005309A4">
      <w:pPr>
        <w:pStyle w:val="ListBullet"/>
      </w:pPr>
      <w:r w:rsidRPr="005309A4">
        <w:t>a live event</w:t>
      </w:r>
    </w:p>
    <w:p w:rsidR="00000000" w:rsidRPr="005309A4" w:rsidP="005309A4">
      <w:pPr>
        <w:pStyle w:val="ListBullet"/>
      </w:pPr>
      <w:r w:rsidRPr="005309A4">
        <w:t>a simulated event set up for the purpose of skills assessment.</w:t>
      </w:r>
    </w:p>
    <w:p w:rsidR="00000000" w:rsidRPr="005309A4" w:rsidP="008B6C09">
      <w:pPr>
        <w:pStyle w:val="BodyText"/>
      </w:pPr>
      <w:r w:rsidRPr="005309A4">
        <w:t>Assessment must ensure access to:</w:t>
      </w:r>
    </w:p>
    <w:p w:rsidR="00000000" w:rsidRPr="005309A4" w:rsidP="005309A4">
      <w:pPr>
        <w:pStyle w:val="ListBullet"/>
      </w:pPr>
      <w:r w:rsidRPr="005309A4">
        <w:t>dedicated event budgets</w:t>
      </w:r>
    </w:p>
    <w:p w:rsidR="00000000" w:rsidRPr="005309A4" w:rsidP="005309A4">
      <w:pPr>
        <w:pStyle w:val="ListBullet"/>
      </w:pPr>
      <w:r w:rsidRPr="005309A4">
        <w:t>comprehensive event plans</w:t>
      </w:r>
    </w:p>
    <w:p w:rsidR="00000000" w:rsidRPr="005309A4" w:rsidP="005309A4">
      <w:pPr>
        <w:pStyle w:val="ListBullet"/>
      </w:pPr>
      <w:r w:rsidRPr="005309A4">
        <w:t>current industry data and information sources to inform the feasibility analysis</w:t>
      </w:r>
    </w:p>
    <w:p w:rsidR="00000000" w:rsidRPr="005309A4" w:rsidP="005309A4">
      <w:pPr>
        <w:pStyle w:val="ListBullet"/>
      </w:pPr>
      <w:r w:rsidRPr="005309A4">
        <w:t>formal communication plans</w:t>
      </w:r>
    </w:p>
    <w:p w:rsidR="00000000" w:rsidRPr="005309A4" w:rsidP="005309A4">
      <w:pPr>
        <w:pStyle w:val="ListBullet"/>
      </w:pPr>
      <w:r w:rsidRPr="005309A4">
        <w:t>event stakeholders with whom the individual interacts. These can be:</w:t>
      </w:r>
    </w:p>
    <w:p w:rsidR="00000000" w:rsidRPr="005309A4" w:rsidP="005309A4">
      <w:pPr>
        <w:pStyle w:val="ListBullet2"/>
      </w:pPr>
      <w:r w:rsidRPr="005309A4">
        <w:t>those in an industry workplace who are assisted by t</w:t>
      </w:r>
      <w:r w:rsidRPr="005309A4">
        <w:t>he individual during the assessment process; or</w:t>
      </w:r>
    </w:p>
    <w:p w:rsidR="00000000" w:rsidRPr="005309A4" w:rsidP="005309A4">
      <w:pPr>
        <w:pStyle w:val="ListBullet2"/>
      </w:pPr>
      <w:r w:rsidRPr="005309A4">
        <w:t>individuals who participate in role plays or simulated activities, set up for the purpose of assessment, in a simulated industry environment operated within a training organisation.</w:t>
      </w:r>
    </w:p>
    <w:p w:rsidR="00000000" w:rsidRPr="005309A4" w:rsidP="008B6C09">
      <w:pPr>
        <w:pStyle w:val="BodyText"/>
      </w:pPr>
      <w:r w:rsidRPr="005309A4">
        <w:t>Assessors must satisfy the</w:t>
      </w:r>
      <w:r w:rsidRPr="005309A4">
        <w:t xml:space="preserve"> Standards for Registered Training Organisations’ requirements for assessors and have worked in industry for at least three years where they have applied the skills and knowledge of this unit of competency.</w:t>
      </w:r>
    </w:p>
    <w:p w:rsidR="00000000" w:rsidRPr="005309A4" w:rsidP="005309A4">
      <w:pPr>
        <w:pStyle w:val="Heading1"/>
      </w:pPr>
      <w:bookmarkStart w:id="14" w:name="O_1229008"/>
      <w:bookmarkEnd w:id="14"/>
      <w:r w:rsidRPr="005309A4">
        <w:t>Links</w:t>
      </w:r>
    </w:p>
    <w:p w:rsidR="00000000" w:rsidRPr="005309A4" w:rsidP="008B6C09">
      <w:pPr>
        <w:pStyle w:val="BodyText"/>
      </w:pPr>
      <w:r w:rsidRPr="005309A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B1767">
        <w:rPr>
          <w:rStyle w:val="Hyperlink"/>
        </w:rPr>
        <w:t>https://vetnet.gov.au/Pages/TrainingDocs.aspx?q=68c40a93-e51d-4e0f-bc06-899dff092694</w:t>
      </w:r>
      <w:r>
        <w:fldChar w:fldCharType="end"/>
      </w:r>
    </w:p>
    <w:p w:rsidR="00000000" w:rsidRPr="005309A4" w:rsidP="005309A4"/>
    <w:sectPr w:rsidSect="005309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9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9A4" w:rsidRPr="008B6C09" w:rsidP="008B6C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9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C09" w:rsidP="005309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6C09" w:rsidP="005309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B6C09" w:rsidP="005309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9A4" w:rsidP="005309A4">
    <w:pPr>
      <w:pStyle w:val="Footer"/>
      <w:framePr w:wrap="around"/>
    </w:pPr>
    <w:r>
      <w:fldChar w:fldCharType="begin"/>
    </w:r>
    <w:r>
      <w:instrText xml:space="preserve"> DOCPROPERTY  Subject  \* MERGEFORMAT </w:instrText>
    </w:r>
    <w:r>
      <w:fldChar w:fldCharType="separate"/>
    </w:r>
    <w:r w:rsidR="008B6C09">
      <w:t>Approved</w:t>
    </w:r>
    <w:r w:rsidR="008B6C09">
      <w:fldChar w:fldCharType="end"/>
    </w:r>
    <w:r>
      <w:tab/>
      <w:t xml:space="preserve">Page </w:t>
    </w:r>
    <w:r>
      <w:fldChar w:fldCharType="begin"/>
    </w:r>
    <w:r>
      <w:instrText xml:space="preserve"> PAGE  \* Arabic  \* MERGEFORMAT </w:instrText>
    </w:r>
    <w:r>
      <w:fldChar w:fldCharType="separate"/>
    </w:r>
    <w:r w:rsidR="008B6C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6C09">
      <w:rPr>
        <w:noProof/>
      </w:rPr>
      <w:t>5</w:t>
    </w:r>
    <w:r>
      <w:rPr>
        <w:noProof/>
      </w:rPr>
      <w:fldChar w:fldCharType="end"/>
    </w:r>
  </w:p>
  <w:p w:rsidR="005309A4" w:rsidP="005309A4">
    <w:pPr>
      <w:pStyle w:val="Footer"/>
      <w:framePr w:wrap="around"/>
    </w:pPr>
    <w:r>
      <w:t xml:space="preserve">© Commonwealth of Australia, </w:t>
    </w:r>
    <w:r>
      <w:fldChar w:fldCharType="begin"/>
    </w:r>
    <w:r>
      <w:instrText xml:space="preserve"> DATE  \@ "yyyy"  \* MERGEFORMAT </w:instrText>
    </w:r>
    <w:r>
      <w:fldChar w:fldCharType="separate"/>
    </w:r>
    <w:r w:rsidR="008B6C09">
      <w:rPr>
        <w:noProof/>
      </w:rPr>
      <w:t>2025</w:t>
    </w:r>
    <w:r>
      <w:fldChar w:fldCharType="end"/>
    </w:r>
    <w:r>
      <w:tab/>
    </w:r>
    <w:r>
      <w:fldChar w:fldCharType="begin"/>
    </w:r>
    <w:r>
      <w:instrText xml:space="preserve"> DOCPROPERTY  Author  \* MERGEFORMAT </w:instrText>
    </w:r>
    <w:r>
      <w:fldChar w:fldCharType="separate"/>
    </w:r>
    <w:r w:rsidR="008B6C09">
      <w:t>Service and Creative Skills Australia</w:t>
    </w:r>
    <w:r w:rsidR="008B6C09">
      <w:fldChar w:fldCharType="end"/>
    </w:r>
  </w:p>
  <w:p w:rsidR="005309A4" w:rsidP="005309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9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C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09A4" w:rsidRPr="008B6C09" w:rsidP="008B6C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9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C09" w:rsidRPr="002D2AF8" w:rsidP="005309A4">
    <w:pPr>
      <w:pStyle w:val="Header"/>
      <w:framePr w:wrap="around"/>
    </w:pPr>
    <w:r>
      <w:fldChar w:fldCharType="begin"/>
    </w:r>
    <w:r>
      <w:instrText xml:space="preserve"> TITLE   \* MERGEFORMAT </w:instrText>
    </w:r>
    <w:r>
      <w:fldChar w:fldCharType="separate"/>
    </w:r>
    <w:r>
      <w:t>SITEEVT031 Determine event feasibility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6C09" w:rsidP="005309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9A4" w:rsidRPr="002D2AF8" w:rsidP="005309A4">
    <w:pPr>
      <w:pStyle w:val="Header"/>
      <w:framePr w:wrap="around"/>
    </w:pPr>
    <w:r>
      <w:fldChar w:fldCharType="begin"/>
    </w:r>
    <w:r>
      <w:instrText xml:space="preserve"> TITLE   \* MERGEFORMAT </w:instrText>
    </w:r>
    <w:r>
      <w:fldChar w:fldCharType="separate"/>
    </w:r>
    <w:r w:rsidR="008B6C09">
      <w:t>SITEEVT031 Determine event feasibility</w:t>
    </w:r>
    <w:r w:rsidR="008B6C09">
      <w:fldChar w:fldCharType="end"/>
    </w:r>
    <w:r>
      <w:tab/>
      <w:t xml:space="preserve">Date this document was generated: </w:t>
    </w:r>
    <w:r>
      <w:fldChar w:fldCharType="begin"/>
    </w:r>
    <w:r>
      <w:instrText xml:space="preserve"> CREATEDATE  \@ "d MMMM yyyy"  \* MERGEFORMAT </w:instrText>
    </w:r>
    <w:r>
      <w:fldChar w:fldCharType="separate"/>
    </w:r>
    <w:r w:rsidR="008B6C09">
      <w:rPr>
        <w:noProof/>
      </w:rPr>
      <w:t>2 March 2025</w:t>
    </w:r>
    <w:r>
      <w:fldChar w:fldCharType="end"/>
    </w:r>
  </w:p>
  <w:p w:rsidR="005309A4" w:rsidP="005309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8856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4657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5EC5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9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09A4"/>
    <w:pPr>
      <w:spacing w:before="360" w:after="60"/>
      <w:outlineLvl w:val="0"/>
    </w:pPr>
    <w:rPr>
      <w:sz w:val="32"/>
    </w:rPr>
  </w:style>
  <w:style w:type="paragraph" w:styleId="Heading2">
    <w:name w:val="heading 2"/>
    <w:basedOn w:val="HeadingBase"/>
    <w:next w:val="BodyText"/>
    <w:link w:val="Heading2Char"/>
    <w:qFormat/>
    <w:rsid w:val="005309A4"/>
    <w:pPr>
      <w:keepLines/>
      <w:spacing w:before="240" w:after="120"/>
      <w:outlineLvl w:val="1"/>
    </w:pPr>
    <w:rPr>
      <w:sz w:val="28"/>
      <w:szCs w:val="40"/>
    </w:rPr>
  </w:style>
  <w:style w:type="paragraph" w:styleId="Heading3">
    <w:name w:val="heading 3"/>
    <w:basedOn w:val="HeadingBase"/>
    <w:next w:val="BodyText"/>
    <w:link w:val="Heading3Char"/>
    <w:qFormat/>
    <w:rsid w:val="005309A4"/>
    <w:pPr>
      <w:spacing w:before="180" w:after="120"/>
      <w:outlineLvl w:val="2"/>
    </w:pPr>
    <w:rPr>
      <w:spacing w:val="-10"/>
      <w:kern w:val="32"/>
    </w:rPr>
  </w:style>
  <w:style w:type="paragraph" w:styleId="Heading4">
    <w:name w:val="heading 4"/>
    <w:basedOn w:val="HeadingBase"/>
    <w:next w:val="BodyText"/>
    <w:link w:val="Heading4Char"/>
    <w:qFormat/>
    <w:rsid w:val="005309A4"/>
    <w:pPr>
      <w:spacing w:before="160" w:after="120"/>
      <w:outlineLvl w:val="3"/>
    </w:pPr>
    <w:rPr>
      <w:sz w:val="22"/>
    </w:rPr>
  </w:style>
  <w:style w:type="paragraph" w:styleId="Heading5">
    <w:name w:val="heading 5"/>
    <w:basedOn w:val="HeadingBase"/>
    <w:next w:val="Normal"/>
    <w:link w:val="Heading5Char"/>
    <w:qFormat/>
    <w:rsid w:val="005309A4"/>
    <w:pPr>
      <w:spacing w:before="80"/>
      <w:outlineLvl w:val="4"/>
    </w:pPr>
    <w:rPr>
      <w:color w:val="918585"/>
      <w:sz w:val="20"/>
    </w:rPr>
  </w:style>
  <w:style w:type="paragraph" w:styleId="Heading6">
    <w:name w:val="heading 6"/>
    <w:basedOn w:val="HeadingBase"/>
    <w:next w:val="Normal"/>
    <w:link w:val="Heading6Char"/>
    <w:qFormat/>
    <w:rsid w:val="005309A4"/>
    <w:pPr>
      <w:spacing w:before="60"/>
      <w:outlineLvl w:val="5"/>
    </w:pPr>
    <w:rPr>
      <w:color w:val="918585"/>
      <w:sz w:val="20"/>
    </w:rPr>
  </w:style>
  <w:style w:type="paragraph" w:styleId="Heading7">
    <w:name w:val="heading 7"/>
    <w:basedOn w:val="Normal"/>
    <w:next w:val="Normal"/>
    <w:link w:val="Heading7Char"/>
    <w:qFormat/>
    <w:rsid w:val="005309A4"/>
    <w:pPr>
      <w:ind w:left="720"/>
      <w:outlineLvl w:val="6"/>
    </w:pPr>
    <w:rPr>
      <w:i/>
    </w:rPr>
  </w:style>
  <w:style w:type="paragraph" w:styleId="Heading8">
    <w:name w:val="heading 8"/>
    <w:basedOn w:val="Normal"/>
    <w:next w:val="Normal"/>
    <w:link w:val="Heading8Char"/>
    <w:qFormat/>
    <w:rsid w:val="005309A4"/>
    <w:pPr>
      <w:ind w:left="720"/>
      <w:outlineLvl w:val="7"/>
    </w:pPr>
    <w:rPr>
      <w:i/>
    </w:rPr>
  </w:style>
  <w:style w:type="paragraph" w:styleId="Heading9">
    <w:name w:val="heading 9"/>
    <w:basedOn w:val="Normal"/>
    <w:next w:val="Normal"/>
    <w:link w:val="Heading9Char"/>
    <w:qFormat/>
    <w:rsid w:val="005309A4"/>
    <w:pPr>
      <w:ind w:left="720"/>
      <w:outlineLvl w:val="8"/>
    </w:pPr>
    <w:rPr>
      <w:i/>
    </w:rPr>
  </w:style>
  <w:style w:type="character" w:default="1" w:styleId="DefaultParagraphFont">
    <w:name w:val="Default Paragraph Font"/>
    <w:uiPriority w:val="1"/>
    <w:unhideWhenUsed/>
    <w:rsid w:val="005309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9A4"/>
  </w:style>
  <w:style w:type="character" w:customStyle="1" w:styleId="Heading1Char">
    <w:name w:val="Heading 1 Char"/>
    <w:basedOn w:val="DefaultParagraphFont"/>
    <w:link w:val="Heading1"/>
    <w:rsid w:val="005309A4"/>
    <w:rPr>
      <w:rFonts w:ascii="Times New Roman" w:eastAsia="Times New Roman" w:hAnsi="Times New Roman" w:cs="Times New Roman"/>
      <w:b/>
      <w:sz w:val="32"/>
      <w:szCs w:val="20"/>
      <w:lang w:eastAsia="en-US"/>
    </w:rPr>
  </w:style>
  <w:style w:type="paragraph" w:styleId="BodyText">
    <w:name w:val="Body Text"/>
    <w:basedOn w:val="Normal"/>
    <w:link w:val="BodyTextChar"/>
    <w:rsid w:val="005309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09A4"/>
    <w:rPr>
      <w:rFonts w:ascii="Times New Roman" w:eastAsia="Times New Roman" w:hAnsi="Times New Roman" w:cs="Times New Roman"/>
      <w:sz w:val="24"/>
      <w:lang w:eastAsia="en-US"/>
    </w:rPr>
  </w:style>
  <w:style w:type="paragraph" w:styleId="List">
    <w:name w:val="List"/>
    <w:basedOn w:val="BodyText"/>
    <w:next w:val="BodyText"/>
    <w:rsid w:val="005309A4"/>
    <w:pPr>
      <w:tabs>
        <w:tab w:val="left" w:pos="340"/>
      </w:tabs>
      <w:spacing w:before="60" w:after="60"/>
      <w:ind w:left="340" w:hanging="340"/>
    </w:pPr>
  </w:style>
  <w:style w:type="paragraph" w:styleId="ListBullet">
    <w:name w:val="List Bullet"/>
    <w:basedOn w:val="List"/>
    <w:rsid w:val="005309A4"/>
    <w:pPr>
      <w:numPr>
        <w:numId w:val="13"/>
      </w:numPr>
      <w:tabs>
        <w:tab w:val="clear" w:pos="340"/>
      </w:tabs>
      <w:spacing w:before="40" w:after="40"/>
    </w:pPr>
  </w:style>
  <w:style w:type="character" w:customStyle="1" w:styleId="SpecialBold">
    <w:name w:val="Special Bold"/>
    <w:basedOn w:val="DefaultParagraphFont"/>
    <w:rsid w:val="005309A4"/>
    <w:rPr>
      <w:b/>
      <w:spacing w:val="0"/>
    </w:rPr>
  </w:style>
  <w:style w:type="paragraph" w:styleId="ListBullet2">
    <w:name w:val="List Bullet 2"/>
    <w:basedOn w:val="List2"/>
    <w:rsid w:val="005309A4"/>
    <w:pPr>
      <w:numPr>
        <w:numId w:val="14"/>
      </w:numPr>
      <w:tabs>
        <w:tab w:val="clear" w:pos="680"/>
      </w:tabs>
    </w:pPr>
  </w:style>
  <w:style w:type="character" w:styleId="Emphasis">
    <w:name w:val="Emphasis"/>
    <w:basedOn w:val="DefaultParagraphFont"/>
    <w:qFormat/>
    <w:rsid w:val="005309A4"/>
    <w:rPr>
      <w:i/>
    </w:rPr>
  </w:style>
  <w:style w:type="paragraph" w:customStyle="1" w:styleId="SuperHeading">
    <w:name w:val="SuperHeading"/>
    <w:basedOn w:val="Normal"/>
    <w:rsid w:val="005309A4"/>
    <w:pPr>
      <w:spacing w:before="240" w:after="120"/>
      <w:outlineLvl w:val="0"/>
    </w:pPr>
    <w:rPr>
      <w:rFonts w:ascii="Times New Roman" w:hAnsi="Times New Roman"/>
      <w:b/>
      <w:sz w:val="32"/>
    </w:rPr>
  </w:style>
  <w:style w:type="paragraph" w:customStyle="1" w:styleId="AllowPageBreak">
    <w:name w:val="AllowPageBreak"/>
    <w:rsid w:val="005309A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309A4"/>
    <w:pPr>
      <w:numPr>
        <w:numId w:val="3"/>
      </w:numPr>
      <w:tabs>
        <w:tab w:val="clear" w:pos="1021"/>
      </w:tabs>
      <w:ind w:left="1037" w:hanging="357"/>
    </w:pPr>
  </w:style>
  <w:style w:type="character" w:customStyle="1" w:styleId="Heading2Char">
    <w:name w:val="Heading 2 Char"/>
    <w:basedOn w:val="DefaultParagraphFont"/>
    <w:link w:val="Heading2"/>
    <w:rsid w:val="005309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9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9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9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9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9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09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09A4"/>
    <w:rPr>
      <w:rFonts w:ascii="Courier New" w:eastAsia="Times New Roman" w:hAnsi="Courier New" w:cs="Times New Roman"/>
      <w:i/>
      <w:szCs w:val="20"/>
      <w:lang w:eastAsia="en-US"/>
    </w:rPr>
  </w:style>
  <w:style w:type="paragraph" w:customStyle="1" w:styleId="HeadingBase">
    <w:name w:val="Heading Base"/>
    <w:rsid w:val="005309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9A4"/>
    <w:pPr>
      <w:tabs>
        <w:tab w:val="right" w:leader="dot" w:pos="9072"/>
      </w:tabs>
      <w:ind w:left="567"/>
    </w:pPr>
    <w:rPr>
      <w:szCs w:val="22"/>
    </w:rPr>
  </w:style>
  <w:style w:type="paragraph" w:customStyle="1" w:styleId="TOCBase">
    <w:name w:val="TOC Base"/>
    <w:rsid w:val="005309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9A4"/>
    <w:pPr>
      <w:tabs>
        <w:tab w:val="right" w:leader="dot" w:pos="9072"/>
      </w:tabs>
      <w:spacing w:before="40" w:after="40"/>
      <w:ind w:left="284"/>
    </w:pPr>
    <w:rPr>
      <w:rFonts w:ascii="Times New Roman" w:hAnsi="Times New Roman"/>
    </w:rPr>
  </w:style>
  <w:style w:type="paragraph" w:styleId="TOC1">
    <w:name w:val="toc 1"/>
    <w:basedOn w:val="TOCBase"/>
    <w:next w:val="Normal"/>
    <w:rsid w:val="005309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09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9A4"/>
    <w:rPr>
      <w:rFonts w:ascii="Times New Roman" w:eastAsia="Times New Roman" w:hAnsi="Times New Roman" w:cs="Times New Roman"/>
      <w:sz w:val="16"/>
      <w:lang w:eastAsia="en-US"/>
    </w:rPr>
  </w:style>
  <w:style w:type="paragraph" w:styleId="Title">
    <w:name w:val="Title"/>
    <w:basedOn w:val="HeadingBase"/>
    <w:link w:val="TitleChar"/>
    <w:qFormat/>
    <w:rsid w:val="005309A4"/>
    <w:pPr>
      <w:spacing w:before="5040"/>
      <w:jc w:val="center"/>
    </w:pPr>
    <w:rPr>
      <w:sz w:val="48"/>
      <w:szCs w:val="72"/>
      <w:lang w:val="en-US"/>
    </w:rPr>
  </w:style>
  <w:style w:type="character" w:customStyle="1" w:styleId="TitleChar">
    <w:name w:val="Title Char"/>
    <w:basedOn w:val="DefaultParagraphFont"/>
    <w:link w:val="Title"/>
    <w:rsid w:val="005309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9A4"/>
    <w:pPr>
      <w:tabs>
        <w:tab w:val="left" w:pos="3600"/>
        <w:tab w:val="left" w:pos="3958"/>
      </w:tabs>
    </w:pPr>
  </w:style>
  <w:style w:type="paragraph" w:customStyle="1" w:styleId="Note">
    <w:name w:val="Note"/>
    <w:basedOn w:val="BodyText"/>
    <w:rsid w:val="005309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09A4"/>
    <w:pPr>
      <w:framePr w:wrap="auto" w:hAnchor="text" w:y="6049"/>
    </w:pPr>
    <w:rPr>
      <w:color w:val="000000"/>
      <w:sz w:val="40"/>
    </w:rPr>
  </w:style>
  <w:style w:type="paragraph" w:customStyle="1" w:styleId="TOCTitle">
    <w:name w:val="TOCTitle"/>
    <w:basedOn w:val="Heading1"/>
    <w:rsid w:val="005309A4"/>
    <w:pPr>
      <w:spacing w:after="240"/>
      <w:jc w:val="center"/>
      <w:outlineLvl w:val="9"/>
    </w:pPr>
    <w:rPr>
      <w:caps/>
    </w:rPr>
  </w:style>
  <w:style w:type="paragraph" w:customStyle="1" w:styleId="Version">
    <w:name w:val="Version"/>
    <w:rsid w:val="005309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09A4"/>
    <w:pPr>
      <w:keepNext w:val="0"/>
      <w:tabs>
        <w:tab w:val="right" w:pos="4176"/>
      </w:tabs>
      <w:ind w:left="198" w:hanging="198"/>
    </w:pPr>
    <w:rPr>
      <w:rFonts w:ascii="Garamond" w:hAnsi="Garamond"/>
    </w:rPr>
  </w:style>
  <w:style w:type="paragraph" w:styleId="IndexHeading">
    <w:name w:val="index heading"/>
    <w:basedOn w:val="Normal"/>
    <w:next w:val="Index1"/>
    <w:semiHidden/>
    <w:rsid w:val="005309A4"/>
    <w:pPr>
      <w:spacing w:before="120" w:after="120"/>
    </w:pPr>
    <w:rPr>
      <w:rFonts w:ascii="Arial" w:hAnsi="Arial"/>
      <w:b/>
      <w:color w:val="918585"/>
      <w:sz w:val="24"/>
    </w:rPr>
  </w:style>
  <w:style w:type="paragraph" w:styleId="Header">
    <w:name w:val="header"/>
    <w:basedOn w:val="Normal"/>
    <w:link w:val="HeaderChar"/>
    <w:rsid w:val="005309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9A4"/>
    <w:rPr>
      <w:rFonts w:ascii="Times New Roman" w:eastAsia="Times New Roman" w:hAnsi="Times New Roman" w:cs="Times New Roman"/>
      <w:sz w:val="16"/>
      <w:szCs w:val="20"/>
      <w:lang w:val="en-GB" w:eastAsia="en-US"/>
    </w:rPr>
  </w:style>
  <w:style w:type="paragraph" w:customStyle="1" w:styleId="Chapter">
    <w:name w:val="Chapter"/>
    <w:basedOn w:val="Normal"/>
    <w:rsid w:val="005309A4"/>
    <w:pPr>
      <w:spacing w:before="240"/>
    </w:pPr>
    <w:rPr>
      <w:rFonts w:ascii="Times New Roman" w:hAnsi="Times New Roman"/>
      <w:smallCaps/>
      <w:spacing w:val="80"/>
      <w:sz w:val="28"/>
    </w:rPr>
  </w:style>
  <w:style w:type="paragraph" w:customStyle="1" w:styleId="InChapter">
    <w:name w:val="InChapter"/>
    <w:basedOn w:val="Heading3"/>
    <w:rsid w:val="005309A4"/>
    <w:pPr>
      <w:spacing w:after="240"/>
      <w:outlineLvl w:val="9"/>
    </w:pPr>
    <w:rPr>
      <w:noProof/>
    </w:rPr>
  </w:style>
  <w:style w:type="paragraph" w:styleId="Index2">
    <w:name w:val="index 2"/>
    <w:basedOn w:val="Normal"/>
    <w:next w:val="Normal"/>
    <w:semiHidden/>
    <w:rsid w:val="005309A4"/>
    <w:pPr>
      <w:tabs>
        <w:tab w:val="right" w:pos="4176"/>
      </w:tabs>
      <w:ind w:left="568" w:hanging="284"/>
    </w:pPr>
    <w:rPr>
      <w:rFonts w:ascii="Garamond" w:hAnsi="Garamond"/>
    </w:rPr>
  </w:style>
  <w:style w:type="paragraph" w:customStyle="1" w:styleId="Byline">
    <w:name w:val="Byline"/>
    <w:rsid w:val="005309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9A4"/>
    <w:pPr>
      <w:tabs>
        <w:tab w:val="clear" w:pos="3600"/>
        <w:tab w:val="clear" w:pos="3958"/>
      </w:tabs>
      <w:jc w:val="right"/>
    </w:pPr>
  </w:style>
  <w:style w:type="paragraph" w:styleId="Caption">
    <w:name w:val="caption"/>
    <w:basedOn w:val="BodyText"/>
    <w:next w:val="Normal"/>
    <w:qFormat/>
    <w:rsid w:val="005309A4"/>
    <w:pPr>
      <w:framePr w:w="2268" w:hSpace="181" w:vSpace="181" w:wrap="around" w:vAnchor="text" w:hAnchor="page" w:x="1135" w:y="285" w:anchorLock="1"/>
    </w:pPr>
    <w:rPr>
      <w:i/>
    </w:rPr>
  </w:style>
  <w:style w:type="paragraph" w:customStyle="1" w:styleId="MiniTOCTitle">
    <w:name w:val="MiniTOCTitle"/>
    <w:basedOn w:val="Heading4"/>
    <w:rsid w:val="005309A4"/>
    <w:pPr>
      <w:spacing w:before="240"/>
      <w:outlineLvl w:val="9"/>
    </w:pPr>
    <w:rPr>
      <w:noProof/>
      <w:sz w:val="24"/>
    </w:rPr>
  </w:style>
  <w:style w:type="paragraph" w:customStyle="1" w:styleId="MiniTOCItem">
    <w:name w:val="MiniTOCItem"/>
    <w:basedOn w:val="ListBullet"/>
    <w:rsid w:val="005309A4"/>
    <w:pPr>
      <w:numPr>
        <w:numId w:val="0"/>
      </w:numPr>
      <w:tabs>
        <w:tab w:val="right" w:leader="dot" w:pos="6521"/>
      </w:tabs>
      <w:spacing w:before="0" w:after="0"/>
    </w:pPr>
  </w:style>
  <w:style w:type="paragraph" w:customStyle="1" w:styleId="TOFTitle">
    <w:name w:val="TOFTitle"/>
    <w:basedOn w:val="TOCTitle"/>
    <w:rsid w:val="005309A4"/>
  </w:style>
  <w:style w:type="paragraph" w:styleId="TableofFigures">
    <w:name w:val="table of figures"/>
    <w:basedOn w:val="Normal"/>
    <w:next w:val="Normal"/>
    <w:semiHidden/>
    <w:rsid w:val="005309A4"/>
    <w:pPr>
      <w:tabs>
        <w:tab w:val="right" w:leader="dot" w:pos="9072"/>
      </w:tabs>
      <w:ind w:left="970" w:hanging="403"/>
    </w:pPr>
    <w:rPr>
      <w:rFonts w:ascii="Times New Roman" w:hAnsi="Times New Roman"/>
      <w:b/>
    </w:rPr>
  </w:style>
  <w:style w:type="paragraph" w:styleId="ListNumber">
    <w:name w:val="List Number"/>
    <w:basedOn w:val="List"/>
    <w:rsid w:val="005309A4"/>
    <w:pPr>
      <w:numPr>
        <w:numId w:val="16"/>
      </w:numPr>
      <w:tabs>
        <w:tab w:val="clear" w:pos="340"/>
      </w:tabs>
    </w:pPr>
  </w:style>
  <w:style w:type="character" w:customStyle="1" w:styleId="WingdingSymbols">
    <w:name w:val="Wingding Symbols"/>
    <w:rsid w:val="005309A4"/>
    <w:rPr>
      <w:rFonts w:ascii="Wingdings" w:hAnsi="Wingdings"/>
    </w:rPr>
  </w:style>
  <w:style w:type="paragraph" w:customStyle="1" w:styleId="TableHeading">
    <w:name w:val="Table Heading"/>
    <w:basedOn w:val="HeadingBase"/>
    <w:rsid w:val="005309A4"/>
    <w:pPr>
      <w:keepLines/>
      <w:pBdr>
        <w:bottom w:val="single" w:sz="6" w:space="1" w:color="918585"/>
      </w:pBdr>
      <w:spacing w:before="240"/>
    </w:pPr>
  </w:style>
  <w:style w:type="character" w:customStyle="1" w:styleId="HotSpot">
    <w:name w:val="HotSpot"/>
    <w:rsid w:val="005309A4"/>
    <w:rPr>
      <w:color w:val="0033CC"/>
      <w:u w:val="none"/>
    </w:rPr>
  </w:style>
  <w:style w:type="paragraph" w:customStyle="1" w:styleId="BodyTextRight">
    <w:name w:val="Body Text Right"/>
    <w:basedOn w:val="BodyText"/>
    <w:rsid w:val="005309A4"/>
    <w:pPr>
      <w:spacing w:before="0" w:after="0"/>
      <w:jc w:val="right"/>
    </w:pPr>
  </w:style>
  <w:style w:type="paragraph" w:styleId="Index3">
    <w:name w:val="index 3"/>
    <w:basedOn w:val="ListNumber2"/>
    <w:next w:val="Normal"/>
    <w:semiHidden/>
    <w:rsid w:val="005309A4"/>
    <w:pPr>
      <w:numPr>
        <w:numId w:val="0"/>
      </w:numPr>
      <w:tabs>
        <w:tab w:val="right" w:leader="dot" w:pos="4176"/>
      </w:tabs>
    </w:pPr>
  </w:style>
  <w:style w:type="paragraph" w:styleId="ListNumber2">
    <w:name w:val="List Number 2"/>
    <w:basedOn w:val="List2"/>
    <w:rsid w:val="005309A4"/>
    <w:pPr>
      <w:numPr>
        <w:numId w:val="11"/>
      </w:numPr>
      <w:tabs>
        <w:tab w:val="clear" w:pos="1060"/>
      </w:tabs>
    </w:pPr>
  </w:style>
  <w:style w:type="paragraph" w:customStyle="1" w:styleId="MarginNote">
    <w:name w:val="Margin Note"/>
    <w:basedOn w:val="BodyText"/>
    <w:rsid w:val="005309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9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9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09A4"/>
    <w:rPr>
      <w:sz w:val="32"/>
    </w:rPr>
  </w:style>
  <w:style w:type="paragraph" w:customStyle="1" w:styleId="HeadingProcedure">
    <w:name w:val="Heading Procedure"/>
    <w:basedOn w:val="HeadingBase"/>
    <w:next w:val="Normal"/>
    <w:rsid w:val="005309A4"/>
    <w:pPr>
      <w:tabs>
        <w:tab w:val="left" w:pos="0"/>
      </w:tabs>
      <w:spacing w:before="120" w:after="60"/>
    </w:pPr>
    <w:rPr>
      <w:i/>
      <w:color w:val="918585"/>
      <w:sz w:val="22"/>
    </w:rPr>
  </w:style>
  <w:style w:type="paragraph" w:customStyle="1" w:styleId="TableBodyText">
    <w:name w:val="Table Body Text"/>
    <w:basedOn w:val="BodyText"/>
    <w:rsid w:val="005309A4"/>
    <w:pPr>
      <w:spacing w:before="60" w:after="60"/>
    </w:pPr>
  </w:style>
  <w:style w:type="paragraph" w:styleId="ListContinue">
    <w:name w:val="List Continue"/>
    <w:basedOn w:val="List"/>
    <w:rsid w:val="005309A4"/>
    <w:pPr>
      <w:ind w:firstLine="0"/>
    </w:pPr>
  </w:style>
  <w:style w:type="paragraph" w:customStyle="1" w:styleId="ListNote">
    <w:name w:val="List Note"/>
    <w:basedOn w:val="List"/>
    <w:rsid w:val="005309A4"/>
    <w:pPr>
      <w:pBdr>
        <w:top w:val="single" w:sz="6" w:space="2" w:color="918585"/>
        <w:bottom w:val="single" w:sz="6" w:space="2" w:color="918585"/>
      </w:pBdr>
      <w:tabs>
        <w:tab w:val="left" w:pos="1021"/>
      </w:tabs>
      <w:ind w:firstLine="0"/>
    </w:pPr>
  </w:style>
  <w:style w:type="paragraph" w:customStyle="1" w:styleId="Warning">
    <w:name w:val="Warning"/>
    <w:basedOn w:val="BodyText"/>
    <w:rsid w:val="005309A4"/>
    <w:pPr>
      <w:shd w:val="clear" w:color="auto" w:fill="D9D9D9"/>
      <w:tabs>
        <w:tab w:val="left" w:pos="992"/>
      </w:tabs>
      <w:ind w:left="119" w:right="119"/>
    </w:pPr>
    <w:rPr>
      <w:sz w:val="20"/>
    </w:rPr>
  </w:style>
  <w:style w:type="paragraph" w:customStyle="1" w:styleId="MarginIcons">
    <w:name w:val="Margin Icons"/>
    <w:basedOn w:val="BodyText"/>
    <w:rsid w:val="005309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9A4"/>
    <w:rPr>
      <w:rFonts w:ascii="Courier New" w:hAnsi="Courier New"/>
    </w:rPr>
  </w:style>
  <w:style w:type="paragraph" w:customStyle="1" w:styleId="NoteBullet">
    <w:name w:val="Note Bullet"/>
    <w:basedOn w:val="Note"/>
    <w:rsid w:val="005309A4"/>
    <w:pPr>
      <w:tabs>
        <w:tab w:val="clear" w:pos="680"/>
      </w:tabs>
      <w:spacing w:before="60" w:after="60"/>
    </w:pPr>
  </w:style>
  <w:style w:type="paragraph" w:customStyle="1" w:styleId="SubHeading2">
    <w:name w:val="SubHeading2"/>
    <w:basedOn w:val="HeadingBase"/>
    <w:rsid w:val="005309A4"/>
    <w:pPr>
      <w:spacing w:before="240" w:after="60"/>
    </w:pPr>
    <w:rPr>
      <w:sz w:val="20"/>
    </w:rPr>
  </w:style>
  <w:style w:type="paragraph" w:customStyle="1" w:styleId="SubHeading1">
    <w:name w:val="SubHeading1"/>
    <w:basedOn w:val="HeadingBase"/>
    <w:rsid w:val="005309A4"/>
    <w:pPr>
      <w:spacing w:before="240" w:after="60"/>
    </w:pPr>
    <w:rPr>
      <w:color w:val="918585"/>
      <w:sz w:val="22"/>
    </w:rPr>
  </w:style>
  <w:style w:type="paragraph" w:customStyle="1" w:styleId="SideHeading">
    <w:name w:val="Side Heading"/>
    <w:basedOn w:val="HeadingBase"/>
    <w:rsid w:val="005309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9A4"/>
    <w:pPr>
      <w:numPr>
        <w:numId w:val="12"/>
      </w:numPr>
    </w:pPr>
  </w:style>
  <w:style w:type="paragraph" w:styleId="PlainText">
    <w:name w:val="Plain Text"/>
    <w:basedOn w:val="Normal"/>
    <w:link w:val="PlainTextChar"/>
    <w:rsid w:val="005309A4"/>
    <w:rPr>
      <w:sz w:val="20"/>
    </w:rPr>
  </w:style>
  <w:style w:type="character" w:customStyle="1" w:styleId="PlainTextChar">
    <w:name w:val="Plain Text Char"/>
    <w:basedOn w:val="DefaultParagraphFont"/>
    <w:link w:val="PlainText"/>
    <w:rsid w:val="005309A4"/>
    <w:rPr>
      <w:rFonts w:ascii="Courier New" w:eastAsia="Times New Roman" w:hAnsi="Courier New" w:cs="Times New Roman"/>
      <w:sz w:val="20"/>
      <w:szCs w:val="20"/>
      <w:lang w:eastAsia="en-US"/>
    </w:rPr>
  </w:style>
  <w:style w:type="character" w:customStyle="1" w:styleId="MenuOption">
    <w:name w:val="Menu Option"/>
    <w:basedOn w:val="DefaultParagraphFont"/>
    <w:rsid w:val="005309A4"/>
    <w:rPr>
      <w:b/>
      <w:smallCaps/>
    </w:rPr>
  </w:style>
  <w:style w:type="paragraph" w:customStyle="1" w:styleId="TableListNumber">
    <w:name w:val="Table List Number"/>
    <w:basedOn w:val="ListNumber"/>
    <w:rsid w:val="005309A4"/>
    <w:pPr>
      <w:numPr>
        <w:numId w:val="0"/>
      </w:numPr>
    </w:pPr>
  </w:style>
  <w:style w:type="paragraph" w:styleId="TOC4">
    <w:name w:val="toc 4"/>
    <w:basedOn w:val="TOCBase"/>
    <w:next w:val="Normal"/>
    <w:semiHidden/>
    <w:rsid w:val="005309A4"/>
    <w:pPr>
      <w:tabs>
        <w:tab w:val="right" w:leader="dot" w:pos="9071"/>
      </w:tabs>
      <w:ind w:left="1701"/>
    </w:pPr>
  </w:style>
  <w:style w:type="paragraph" w:customStyle="1" w:styleId="ListAlpha">
    <w:name w:val="List Alpha"/>
    <w:basedOn w:val="List"/>
    <w:rsid w:val="005309A4"/>
    <w:pPr>
      <w:numPr>
        <w:numId w:val="10"/>
      </w:numPr>
    </w:pPr>
  </w:style>
  <w:style w:type="paragraph" w:customStyle="1" w:styleId="ListAlpha2">
    <w:name w:val="List Alpha 2"/>
    <w:basedOn w:val="List2"/>
    <w:rsid w:val="005309A4"/>
    <w:pPr>
      <w:numPr>
        <w:numId w:val="9"/>
      </w:numPr>
    </w:pPr>
  </w:style>
  <w:style w:type="paragraph" w:styleId="List2">
    <w:name w:val="List 2"/>
    <w:basedOn w:val="BodyText"/>
    <w:rsid w:val="005309A4"/>
    <w:pPr>
      <w:tabs>
        <w:tab w:val="left" w:pos="680"/>
      </w:tabs>
      <w:spacing w:before="60" w:after="60"/>
      <w:ind w:left="680" w:hanging="340"/>
    </w:pPr>
  </w:style>
  <w:style w:type="paragraph" w:styleId="List3">
    <w:name w:val="List 3"/>
    <w:basedOn w:val="BodyText"/>
    <w:rsid w:val="005309A4"/>
    <w:pPr>
      <w:tabs>
        <w:tab w:val="left" w:pos="1021"/>
      </w:tabs>
      <w:spacing w:before="60" w:after="60"/>
      <w:ind w:left="1020" w:hanging="340"/>
    </w:pPr>
  </w:style>
  <w:style w:type="paragraph" w:styleId="List4">
    <w:name w:val="List 4"/>
    <w:basedOn w:val="BodyText"/>
    <w:rsid w:val="005309A4"/>
    <w:pPr>
      <w:tabs>
        <w:tab w:val="left" w:pos="1361"/>
      </w:tabs>
      <w:spacing w:before="60" w:after="60"/>
      <w:ind w:left="1361" w:hanging="340"/>
    </w:pPr>
  </w:style>
  <w:style w:type="paragraph" w:styleId="List5">
    <w:name w:val="List 5"/>
    <w:basedOn w:val="BodyText"/>
    <w:rsid w:val="005309A4"/>
    <w:pPr>
      <w:tabs>
        <w:tab w:val="left" w:pos="1701"/>
      </w:tabs>
      <w:spacing w:before="60" w:after="60"/>
      <w:ind w:left="1701" w:hanging="340"/>
    </w:pPr>
  </w:style>
  <w:style w:type="paragraph" w:styleId="ListBullet4">
    <w:name w:val="List Bullet 4"/>
    <w:basedOn w:val="List4"/>
    <w:rsid w:val="005309A4"/>
    <w:pPr>
      <w:numPr>
        <w:numId w:val="4"/>
      </w:numPr>
      <w:tabs>
        <w:tab w:val="clear" w:pos="1361"/>
      </w:tabs>
    </w:pPr>
  </w:style>
  <w:style w:type="paragraph" w:styleId="ListBullet5">
    <w:name w:val="List Bullet 5"/>
    <w:basedOn w:val="List5"/>
    <w:rsid w:val="005309A4"/>
    <w:pPr>
      <w:numPr>
        <w:numId w:val="5"/>
      </w:numPr>
    </w:pPr>
  </w:style>
  <w:style w:type="paragraph" w:styleId="ListContinue2">
    <w:name w:val="List Continue 2"/>
    <w:basedOn w:val="List2"/>
    <w:rsid w:val="005309A4"/>
    <w:pPr>
      <w:ind w:firstLine="0"/>
    </w:pPr>
  </w:style>
  <w:style w:type="paragraph" w:styleId="ListContinue3">
    <w:name w:val="List Continue 3"/>
    <w:basedOn w:val="List3"/>
    <w:rsid w:val="005309A4"/>
    <w:pPr>
      <w:ind w:left="1021" w:firstLine="0"/>
    </w:pPr>
  </w:style>
  <w:style w:type="paragraph" w:styleId="ListContinue4">
    <w:name w:val="List Continue 4"/>
    <w:basedOn w:val="List4"/>
    <w:rsid w:val="005309A4"/>
    <w:pPr>
      <w:ind w:firstLine="0"/>
    </w:pPr>
  </w:style>
  <w:style w:type="paragraph" w:styleId="ListContinue5">
    <w:name w:val="List Continue 5"/>
    <w:basedOn w:val="List5"/>
    <w:rsid w:val="005309A4"/>
    <w:pPr>
      <w:ind w:firstLine="0"/>
    </w:pPr>
  </w:style>
  <w:style w:type="paragraph" w:styleId="ListNumber3">
    <w:name w:val="List Number 3"/>
    <w:basedOn w:val="List3"/>
    <w:rsid w:val="005309A4"/>
    <w:pPr>
      <w:numPr>
        <w:numId w:val="6"/>
      </w:numPr>
    </w:pPr>
  </w:style>
  <w:style w:type="paragraph" w:styleId="ListNumber4">
    <w:name w:val="List Number 4"/>
    <w:basedOn w:val="List4"/>
    <w:rsid w:val="005309A4"/>
    <w:pPr>
      <w:numPr>
        <w:numId w:val="7"/>
      </w:numPr>
    </w:pPr>
  </w:style>
  <w:style w:type="paragraph" w:styleId="ListNumber5">
    <w:name w:val="List Number 5"/>
    <w:basedOn w:val="List5"/>
    <w:rsid w:val="005309A4"/>
    <w:pPr>
      <w:numPr>
        <w:numId w:val="8"/>
      </w:numPr>
    </w:pPr>
  </w:style>
  <w:style w:type="paragraph" w:styleId="BlockText">
    <w:name w:val="Block Text"/>
    <w:basedOn w:val="Normal"/>
    <w:rsid w:val="005309A4"/>
    <w:pPr>
      <w:spacing w:after="120"/>
      <w:ind w:left="1440" w:right="1440"/>
    </w:pPr>
  </w:style>
  <w:style w:type="character" w:customStyle="1" w:styleId="Subscript">
    <w:name w:val="Subscript"/>
    <w:basedOn w:val="DefaultParagraphFont"/>
    <w:rsid w:val="005309A4"/>
    <w:rPr>
      <w:sz w:val="16"/>
      <w:vertAlign w:val="subscript"/>
    </w:rPr>
  </w:style>
  <w:style w:type="character" w:customStyle="1" w:styleId="Superscript">
    <w:name w:val="Superscript"/>
    <w:basedOn w:val="DefaultParagraphFont"/>
    <w:rsid w:val="005309A4"/>
    <w:rPr>
      <w:sz w:val="16"/>
      <w:vertAlign w:val="superscript"/>
    </w:rPr>
  </w:style>
  <w:style w:type="character" w:customStyle="1" w:styleId="Symbols">
    <w:name w:val="Symbols"/>
    <w:basedOn w:val="DefaultParagraphFont"/>
    <w:rsid w:val="005309A4"/>
    <w:rPr>
      <w:rFonts w:ascii="Symbol" w:hAnsi="Symbol"/>
    </w:rPr>
  </w:style>
  <w:style w:type="character" w:customStyle="1" w:styleId="MenuOptions">
    <w:name w:val="Menu Options"/>
    <w:basedOn w:val="DefaultParagraphFont"/>
    <w:rsid w:val="005309A4"/>
    <w:rPr>
      <w:rFonts w:ascii="Arial Narrow" w:hAnsi="Arial Narrow"/>
      <w:smallCaps/>
    </w:rPr>
  </w:style>
  <w:style w:type="character" w:customStyle="1" w:styleId="Buttons">
    <w:name w:val="Buttons"/>
    <w:basedOn w:val="DefaultParagraphFont"/>
    <w:rsid w:val="005309A4"/>
    <w:rPr>
      <w:b/>
    </w:rPr>
  </w:style>
  <w:style w:type="character" w:customStyle="1" w:styleId="Underlined">
    <w:name w:val="Underlined"/>
    <w:basedOn w:val="DefaultParagraphFont"/>
    <w:rsid w:val="005309A4"/>
    <w:rPr>
      <w:u w:val="single"/>
    </w:rPr>
  </w:style>
  <w:style w:type="paragraph" w:customStyle="1" w:styleId="TableBodyTextRight">
    <w:name w:val="Table Body Text Right"/>
    <w:basedOn w:val="TableBodyText"/>
    <w:rsid w:val="005309A4"/>
    <w:pPr>
      <w:widowControl w:val="0"/>
      <w:autoSpaceDE w:val="0"/>
      <w:autoSpaceDN w:val="0"/>
      <w:adjustRightInd w:val="0"/>
      <w:jc w:val="right"/>
    </w:pPr>
    <w:rPr>
      <w:rFonts w:cs="Arial"/>
      <w:szCs w:val="18"/>
    </w:rPr>
  </w:style>
  <w:style w:type="paragraph" w:customStyle="1" w:styleId="CopyrightText">
    <w:name w:val="Copyright Text"/>
    <w:basedOn w:val="BodyText"/>
    <w:rsid w:val="005309A4"/>
    <w:rPr>
      <w:sz w:val="18"/>
    </w:rPr>
  </w:style>
  <w:style w:type="paragraph" w:customStyle="1" w:styleId="BodySmallRight">
    <w:name w:val="Body Small Right"/>
    <w:basedOn w:val="BodyTextRight"/>
    <w:rsid w:val="005309A4"/>
    <w:rPr>
      <w:sz w:val="18"/>
      <w:szCs w:val="18"/>
    </w:rPr>
  </w:style>
  <w:style w:type="paragraph" w:customStyle="1" w:styleId="MarginEdition">
    <w:name w:val="Margin Edition"/>
    <w:basedOn w:val="MarginNote"/>
    <w:rsid w:val="005309A4"/>
    <w:pPr>
      <w:spacing w:before="0" w:after="0"/>
    </w:pPr>
    <w:rPr>
      <w:rFonts w:ascii="Times New Roman" w:hAnsi="Times New Roman"/>
      <w:color w:val="999999"/>
    </w:rPr>
  </w:style>
  <w:style w:type="paragraph" w:customStyle="1" w:styleId="Spacer">
    <w:name w:val="Spacer"/>
    <w:basedOn w:val="Normal"/>
    <w:rsid w:val="005309A4"/>
    <w:rPr>
      <w:sz w:val="2"/>
      <w:szCs w:val="2"/>
    </w:rPr>
  </w:style>
  <w:style w:type="character" w:customStyle="1" w:styleId="Small">
    <w:name w:val="Small"/>
    <w:basedOn w:val="DefaultParagraphFont"/>
    <w:rsid w:val="005309A4"/>
    <w:rPr>
      <w:sz w:val="16"/>
    </w:rPr>
  </w:style>
  <w:style w:type="paragraph" w:customStyle="1" w:styleId="WideTable">
    <w:name w:val="Wide Table"/>
    <w:basedOn w:val="Normal"/>
    <w:rsid w:val="005309A4"/>
    <w:pPr>
      <w:ind w:left="-1418"/>
    </w:pPr>
    <w:rPr>
      <w:sz w:val="2"/>
      <w:szCs w:val="2"/>
    </w:rPr>
  </w:style>
  <w:style w:type="character" w:styleId="PageNumber">
    <w:name w:val="page number"/>
    <w:basedOn w:val="DefaultParagraphFont"/>
    <w:rsid w:val="005309A4"/>
  </w:style>
  <w:style w:type="paragraph" w:styleId="Quote">
    <w:name w:val="Quote"/>
    <w:basedOn w:val="Heading1"/>
    <w:link w:val="QuoteChar"/>
    <w:qFormat/>
    <w:rsid w:val="005309A4"/>
    <w:rPr>
      <w:b w:val="0"/>
      <w:sz w:val="72"/>
      <w:szCs w:val="72"/>
      <w:lang w:val="en-NZ"/>
    </w:rPr>
  </w:style>
  <w:style w:type="character" w:customStyle="1" w:styleId="QuoteChar">
    <w:name w:val="Quote Char"/>
    <w:basedOn w:val="DefaultParagraphFont"/>
    <w:link w:val="Quote"/>
    <w:rsid w:val="005309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9A4"/>
    <w:pPr>
      <w:pageBreakBefore/>
    </w:pPr>
  </w:style>
  <w:style w:type="paragraph" w:customStyle="1" w:styleId="Border">
    <w:name w:val="Border"/>
    <w:basedOn w:val="Normal"/>
    <w:qFormat/>
    <w:rsid w:val="005309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9A4"/>
    <w:rPr>
      <w:b/>
      <w:bCs/>
      <w:i/>
      <w:iCs/>
      <w:color w:val="auto"/>
    </w:rPr>
  </w:style>
  <w:style w:type="paragraph" w:styleId="IntenseQuote">
    <w:name w:val="Intense Quote"/>
    <w:basedOn w:val="Normal"/>
    <w:next w:val="Normal"/>
    <w:link w:val="IntenseQuoteChar"/>
    <w:uiPriority w:val="30"/>
    <w:qFormat/>
    <w:rsid w:val="005309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9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09A4"/>
    <w:rPr>
      <w:smallCaps/>
      <w:color w:val="auto"/>
      <w:u w:val="single"/>
    </w:rPr>
  </w:style>
  <w:style w:type="character" w:styleId="IntenseReference">
    <w:name w:val="Intense Reference"/>
    <w:basedOn w:val="DefaultParagraphFont"/>
    <w:uiPriority w:val="32"/>
    <w:qFormat/>
    <w:rsid w:val="005309A4"/>
    <w:rPr>
      <w:b/>
      <w:bCs/>
      <w:smallCaps/>
      <w:color w:val="auto"/>
      <w:spacing w:val="5"/>
      <w:u w:val="single"/>
    </w:rPr>
  </w:style>
  <w:style w:type="paragraph" w:customStyle="1" w:styleId="2ColumnHeading">
    <w:name w:val="2Column Heading"/>
    <w:basedOn w:val="BodyText"/>
    <w:qFormat/>
    <w:rsid w:val="005309A4"/>
    <w:pPr>
      <w:spacing w:after="60"/>
      <w:ind w:left="-2268"/>
    </w:pPr>
    <w:rPr>
      <w:b/>
    </w:rPr>
  </w:style>
  <w:style w:type="paragraph" w:customStyle="1" w:styleId="Heading1TOC">
    <w:name w:val="Heading1 TOC"/>
    <w:basedOn w:val="Normal"/>
    <w:qFormat/>
    <w:rsid w:val="005309A4"/>
    <w:pPr>
      <w:spacing w:before="240" w:after="120"/>
    </w:pPr>
    <w:rPr>
      <w:rFonts w:ascii="Times New Roman" w:hAnsi="Times New Roman"/>
      <w:b/>
      <w:sz w:val="32"/>
    </w:rPr>
  </w:style>
  <w:style w:type="paragraph" w:customStyle="1" w:styleId="Heading2TOC">
    <w:name w:val="Heading2 TOC"/>
    <w:basedOn w:val="Normal"/>
    <w:qFormat/>
    <w:rsid w:val="005309A4"/>
    <w:pPr>
      <w:spacing w:before="240" w:after="60"/>
    </w:pPr>
    <w:rPr>
      <w:rFonts w:ascii="Times New Roman" w:hAnsi="Times New Roman"/>
      <w:b/>
      <w:sz w:val="28"/>
    </w:rPr>
  </w:style>
  <w:style w:type="character" w:customStyle="1" w:styleId="Underline">
    <w:name w:val="Underline"/>
    <w:basedOn w:val="DefaultParagraphFont"/>
    <w:qFormat/>
    <w:rsid w:val="005309A4"/>
    <w:rPr>
      <w:u w:val="single"/>
    </w:rPr>
  </w:style>
  <w:style w:type="character" w:customStyle="1" w:styleId="BoldandItalics">
    <w:name w:val="Bold and Italics"/>
    <w:qFormat/>
    <w:rsid w:val="005309A4"/>
    <w:rPr>
      <w:b/>
      <w:i/>
      <w:u w:val="none"/>
    </w:rPr>
  </w:style>
  <w:style w:type="paragraph" w:styleId="BalloonText">
    <w:name w:val="Balloon Text"/>
    <w:basedOn w:val="Normal"/>
    <w:link w:val="BalloonTextChar"/>
    <w:rsid w:val="005309A4"/>
    <w:rPr>
      <w:rFonts w:ascii="Tahoma" w:hAnsi="Tahoma" w:cs="Tahoma"/>
      <w:sz w:val="16"/>
      <w:szCs w:val="16"/>
    </w:rPr>
  </w:style>
  <w:style w:type="character" w:customStyle="1" w:styleId="BalloonTextChar">
    <w:name w:val="Balloon Text Char"/>
    <w:basedOn w:val="DefaultParagraphFont"/>
    <w:link w:val="BalloonText"/>
    <w:rsid w:val="005309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09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09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09A4"/>
    <w:rPr>
      <w:b/>
      <w:color w:val="660033"/>
      <w:spacing w:val="0"/>
    </w:rPr>
  </w:style>
  <w:style w:type="paragraph" w:customStyle="1" w:styleId="Nameditemlist">
    <w:name w:val="Named item list"/>
    <w:basedOn w:val="BodyText"/>
    <w:qFormat/>
    <w:rsid w:val="005309A4"/>
    <w:pPr>
      <w:tabs>
        <w:tab w:val="left" w:pos="2835"/>
      </w:tabs>
      <w:ind w:left="2835" w:hanging="2835"/>
    </w:pPr>
  </w:style>
  <w:style w:type="paragraph" w:customStyle="1" w:styleId="BodyTextnopadding">
    <w:name w:val="Body Text no padding"/>
    <w:basedOn w:val="BodyText"/>
    <w:qFormat/>
    <w:rsid w:val="005309A4"/>
    <w:pPr>
      <w:spacing w:before="0" w:after="0"/>
    </w:pPr>
  </w:style>
  <w:style w:type="paragraph" w:customStyle="1" w:styleId="BodyTextBold">
    <w:name w:val="Body Text Bold"/>
    <w:basedOn w:val="BodyText"/>
    <w:qFormat/>
    <w:rsid w:val="005309A4"/>
    <w:rPr>
      <w:b/>
    </w:rPr>
  </w:style>
  <w:style w:type="character" w:styleId="Hyperlink">
    <w:name w:val="Hyperlink"/>
    <w:basedOn w:val="DefaultParagraphFont"/>
    <w:uiPriority w:val="99"/>
    <w:unhideWhenUsed/>
    <w:rsid w:val="008B6C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1136</Words>
  <Characters>7513</Characters>
  <Application>Microsoft Office Word</Application>
  <DocSecurity>0</DocSecurity>
  <Lines>234</Lines>
  <Paragraphs>166</Paragraphs>
  <ScaleCrop>false</ScaleCrop>
  <Company>Author-it Software Corporation Ltd.</Company>
  <LinksUpToDate>false</LinksUpToDate>
  <CharactersWithSpaces>8483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SITEEVT031 Determine event feasibility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2025-03-01T13:15:00Z</dcterms:created>
  <dcterms:modified xsi:type="dcterms:W3CDTF">2025-03-01T13:15:00Z</dcterms:modified>
</cp:coreProperties>
</file>