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0A0" w:rsidP="00291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SITEEVT027 Organise event infrastructure</w:t>
      </w:r>
      <w:r>
        <w:fldChar w:fldCharType="end"/>
      </w:r>
    </w:p>
    <w:p w:rsidR="002910A0" w:rsidP="002910A0">
      <w:pPr>
        <w:pStyle w:val="Version"/>
        <w:sectPr w:rsidSect="00306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457" w:rsidP="00306457">
      <w:pPr>
        <w:pStyle w:val="SuperHeading"/>
      </w:pPr>
      <w:r w:rsidRPr="00306457">
        <w:t>SITEEVT027 Organise event infrastructure</w:t>
      </w:r>
    </w:p>
    <w:p w:rsidR="00000000" w:rsidRPr="00306457" w:rsidP="00306457">
      <w:pPr>
        <w:pStyle w:val="Heading1"/>
      </w:pPr>
      <w:bookmarkStart w:id="1" w:name="O_1228203"/>
      <w:bookmarkEnd w:id="1"/>
      <w:r w:rsidRPr="00306457">
        <w:t>Modification History</w:t>
      </w:r>
    </w:p>
    <w:p w:rsidR="00000000" w:rsidRPr="00306457" w:rsidP="002910A0">
      <w:pPr>
        <w:pStyle w:val="BodyText"/>
      </w:pPr>
      <w:r w:rsidRPr="00306457">
        <w:t>Not applicable.</w:t>
      </w:r>
    </w:p>
    <w:p w:rsidR="00000000" w:rsidRPr="00306457" w:rsidP="00306457">
      <w:pPr>
        <w:pStyle w:val="Heading1"/>
      </w:pPr>
      <w:bookmarkStart w:id="2" w:name="O_1228210"/>
      <w:bookmarkEnd w:id="2"/>
      <w:r w:rsidRPr="00306457">
        <w:t>Application</w:t>
      </w:r>
    </w:p>
    <w:p w:rsidR="00000000" w:rsidRPr="00306457" w:rsidP="002910A0">
      <w:pPr>
        <w:pStyle w:val="BodyText"/>
      </w:pPr>
      <w:r w:rsidRPr="00306457">
        <w:t>This unit describes the performance outcomes, skills and knowledge required to organise event infrastructure and facilities, where these do not already exist at a venue or site.</w:t>
      </w:r>
    </w:p>
    <w:p w:rsidR="00000000" w:rsidRPr="00306457" w:rsidP="002910A0">
      <w:pPr>
        <w:pStyle w:val="BodyText"/>
      </w:pPr>
      <w:r w:rsidRPr="00306457">
        <w:t xml:space="preserve">This unit </w:t>
      </w:r>
      <w:r w:rsidRPr="00306457">
        <w:t>is relevant to events that are diverse in nature and are coordinated in many industry contexts, including the tourism, hospitality, sport, cultural and community sectors.</w:t>
      </w:r>
    </w:p>
    <w:p w:rsidR="00000000" w:rsidRPr="00306457" w:rsidP="002910A0">
      <w:pPr>
        <w:pStyle w:val="BodyText"/>
      </w:pPr>
      <w:r w:rsidRPr="00306457">
        <w:t>It applies to workers who operate independently and are responsible for making a rang</w:t>
      </w:r>
      <w:r w:rsidRPr="00306457">
        <w:t>e of operational decisions. They may work in event management companies, in event venues, or in organisations that organise their own events.</w:t>
      </w:r>
    </w:p>
    <w:p w:rsidR="00000000" w:rsidRPr="00306457" w:rsidP="002910A0">
      <w:pPr>
        <w:pStyle w:val="BodyText"/>
      </w:pPr>
      <w:r w:rsidRPr="00306457">
        <w:t>The skills in this unit of competency must be applied in accordance with Commonwealth and State/Territory legislat</w:t>
      </w:r>
      <w:r w:rsidRPr="00306457">
        <w:t>ion, Australian standards and industry codes of practice.</w:t>
      </w:r>
    </w:p>
    <w:p w:rsidR="00000000" w:rsidRPr="00306457" w:rsidP="002910A0">
      <w:pPr>
        <w:pStyle w:val="BodyText"/>
      </w:pPr>
      <w:r w:rsidRPr="00306457">
        <w:t>No occupational licensing, certification or specific legislative requirements apply to this unit at the time of publication.</w:t>
      </w:r>
    </w:p>
    <w:p w:rsidR="00000000" w:rsidRPr="00306457" w:rsidP="00306457">
      <w:pPr>
        <w:pStyle w:val="Heading1"/>
      </w:pPr>
      <w:bookmarkStart w:id="3" w:name="O_1228209"/>
      <w:bookmarkEnd w:id="3"/>
      <w:r w:rsidRPr="00306457">
        <w:t>Pre-requisite Unit</w:t>
      </w:r>
    </w:p>
    <w:p w:rsidR="00000000" w:rsidRPr="00306457" w:rsidP="002910A0">
      <w:pPr>
        <w:pStyle w:val="BodyText"/>
      </w:pPr>
      <w:r w:rsidRPr="00306457">
        <w:t>Nil</w:t>
      </w:r>
    </w:p>
    <w:p w:rsidR="00000000" w:rsidRPr="00306457" w:rsidP="00306457">
      <w:pPr>
        <w:pStyle w:val="Heading1"/>
      </w:pPr>
      <w:bookmarkStart w:id="4" w:name="O_1228208"/>
      <w:bookmarkEnd w:id="4"/>
      <w:r w:rsidRPr="00306457">
        <w:t>Competency F</w:t>
      </w:r>
      <w:r w:rsidRPr="00306457">
        <w:t>ield</w:t>
      </w:r>
    </w:p>
    <w:p w:rsidR="00000000" w:rsidRPr="00306457" w:rsidP="00306457">
      <w:pPr>
        <w:pStyle w:val="Heading1"/>
      </w:pPr>
      <w:bookmarkStart w:id="5" w:name="O_1228207"/>
      <w:bookmarkEnd w:id="5"/>
      <w:r w:rsidRPr="00306457">
        <w:t>Unit Sector</w:t>
      </w:r>
    </w:p>
    <w:p w:rsidR="00000000" w:rsidRPr="00306457" w:rsidP="002910A0">
      <w:pPr>
        <w:pStyle w:val="BodyText"/>
      </w:pPr>
      <w:r w:rsidRPr="00306457">
        <w:t>Events</w:t>
      </w:r>
    </w:p>
    <w:p w:rsidR="00000000" w:rsidRPr="00306457" w:rsidP="00306457">
      <w:pPr>
        <w:pStyle w:val="Heading1"/>
      </w:pPr>
      <w:bookmarkStart w:id="6" w:name="O_1228206"/>
      <w:bookmarkEnd w:id="6"/>
      <w:r w:rsidRPr="003064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BodyText"/>
            </w:pPr>
            <w:r w:rsidRPr="0030645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rPr>
                <w:rStyle w:val="SpecialBold"/>
              </w:rPr>
              <w:t>PERFORMANCE</w:t>
            </w:r>
            <w:r w:rsidRPr="00306457">
              <w:t xml:space="preserve"> </w:t>
            </w:r>
            <w:r w:rsidRPr="00306457">
              <w:rPr>
                <w:rStyle w:val="SpecialBold"/>
              </w:rPr>
              <w:t>CRITERIA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BodyText"/>
            </w:pPr>
            <w:r w:rsidRPr="0030645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"/>
              <w:rPr>
                <w:lang w:val="en-NZ"/>
              </w:rPr>
            </w:pPr>
            <w:r w:rsidRPr="00306457">
              <w:t>1.  Analyse infrastructure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"/>
            </w:pPr>
            <w:r w:rsidRPr="00306457">
              <w:t>1.1. Evaluate infrastructure and facility requirements based on detailed review of proposed event and venue.</w:t>
            </w:r>
          </w:p>
          <w:p w:rsidR="00000000" w:rsidRPr="00306457" w:rsidP="00306457">
            <w:pPr>
              <w:pStyle w:val="List"/>
            </w:pPr>
            <w:r w:rsidRPr="00306457">
              <w:t>1.2. Liai</w:t>
            </w:r>
            <w:r w:rsidRPr="00306457">
              <w:t>se with relevant authorities at commencement of event planning process and integrate regulatory requirements into event plans.</w:t>
            </w:r>
          </w:p>
          <w:p w:rsidR="00000000" w:rsidRPr="00306457" w:rsidP="00306457">
            <w:pPr>
              <w:pStyle w:val="List"/>
            </w:pPr>
            <w:r w:rsidRPr="00306457">
              <w:t>1.3. Develop accurate summary of infrastructure requirements for each event component in consultation with key stakeholders.</w:t>
            </w:r>
          </w:p>
          <w:p w:rsidR="00000000" w:rsidRPr="00306457" w:rsidP="00306457">
            <w:pPr>
              <w:pStyle w:val="List"/>
            </w:pPr>
            <w:r w:rsidRPr="00306457">
              <w:t>1.4.</w:t>
            </w:r>
            <w:r w:rsidRPr="00306457">
              <w:t xml:space="preserve"> Develop work schedule to address production requirements, identifying key activities, interrelationships and timelines.</w:t>
            </w:r>
          </w:p>
          <w:p w:rsidR="00000000" w:rsidP="00306457">
            <w:pPr>
              <w:pStyle w:val="List"/>
              <w:rPr>
                <w:lang w:val="en-NZ"/>
              </w:rPr>
            </w:pPr>
            <w:r w:rsidRPr="00306457">
              <w:t>1.5. Incorporate risk control and sustainability issues into planning processes.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"/>
              <w:rPr>
                <w:lang w:val="en-NZ"/>
              </w:rPr>
            </w:pPr>
            <w:r w:rsidRPr="00306457">
              <w:t>2.  Source and organise infrastructure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"/>
            </w:pPr>
            <w:r w:rsidRPr="00306457">
              <w:t>2.1. Identify and source infrastructure and facilities contractors according to work schedule.</w:t>
            </w:r>
          </w:p>
          <w:p w:rsidR="00000000" w:rsidRPr="00306457" w:rsidP="00306457">
            <w:pPr>
              <w:pStyle w:val="List"/>
            </w:pPr>
            <w:r w:rsidRPr="00306457">
              <w:t>2.2. Provide specifications to contractors about infrastructure requirements.</w:t>
            </w:r>
          </w:p>
          <w:p w:rsidR="00000000" w:rsidRPr="00306457" w:rsidP="00306457">
            <w:pPr>
              <w:pStyle w:val="List"/>
            </w:pPr>
            <w:r w:rsidRPr="00306457">
              <w:t>2.3. Obtain quotations for the provision of products and services.</w:t>
            </w:r>
          </w:p>
          <w:p w:rsidR="00000000" w:rsidRPr="00306457" w:rsidP="00306457">
            <w:pPr>
              <w:pStyle w:val="List"/>
            </w:pPr>
            <w:r w:rsidRPr="00306457">
              <w:t>2.4. Evaluate qu</w:t>
            </w:r>
            <w:r w:rsidRPr="00306457">
              <w:t>otations against specifications and other relevant quality criteria.</w:t>
            </w:r>
          </w:p>
          <w:p w:rsidR="00000000" w:rsidP="00306457">
            <w:pPr>
              <w:pStyle w:val="List"/>
              <w:rPr>
                <w:lang w:val="en-NZ"/>
              </w:rPr>
            </w:pPr>
            <w:r w:rsidRPr="00306457">
              <w:t>2.5. Confirm agreements with contractors in writing to include details and costs of all services.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"/>
              <w:rPr>
                <w:lang w:val="en-NZ"/>
              </w:rPr>
            </w:pPr>
            <w:r w:rsidRPr="00306457">
              <w:t>3.  Monitor event infrastructure.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"/>
            </w:pPr>
            <w:r w:rsidRPr="00306457">
              <w:t>3.1. Monitor event preparations through ongoing liaiso</w:t>
            </w:r>
            <w:r w:rsidRPr="00306457">
              <w:t>n with contractors and other stakeholders.</w:t>
            </w:r>
          </w:p>
          <w:p w:rsidR="00000000" w:rsidRPr="00306457" w:rsidP="00306457">
            <w:pPr>
              <w:pStyle w:val="List"/>
            </w:pPr>
            <w:r w:rsidRPr="00306457">
              <w:t>3.2. Evaluate work completed against event requirements and schedules and take appropriate action to address delays or other problems.</w:t>
            </w:r>
          </w:p>
          <w:p w:rsidR="00000000" w:rsidRPr="00306457" w:rsidP="00306457">
            <w:pPr>
              <w:pStyle w:val="List"/>
            </w:pPr>
            <w:r w:rsidRPr="00306457">
              <w:t xml:space="preserve">3.3. Assess the need for production adjustments to maintain event quality and </w:t>
            </w:r>
            <w:r w:rsidRPr="00306457">
              <w:t>integrity.</w:t>
            </w:r>
          </w:p>
          <w:p w:rsidR="00000000" w:rsidP="00306457">
            <w:pPr>
              <w:pStyle w:val="List"/>
              <w:rPr>
                <w:lang w:val="en-NZ"/>
              </w:rPr>
            </w:pPr>
            <w:r w:rsidRPr="00306457">
              <w:t>3.4. Negotiate and confirm required changes.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"/>
              <w:rPr>
                <w:lang w:val="en-NZ"/>
              </w:rPr>
            </w:pPr>
            <w:r w:rsidRPr="00306457">
              <w:t>4.  Evaluate success of event infrastructure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"/>
            </w:pPr>
            <w:r w:rsidRPr="00306457">
              <w:t>4.1. Obtain feedback from stakeholders according to predetermined evaluation criteria.</w:t>
            </w:r>
          </w:p>
          <w:p w:rsidR="00000000" w:rsidRPr="00306457" w:rsidP="00306457">
            <w:pPr>
              <w:pStyle w:val="List"/>
            </w:pPr>
            <w:r w:rsidRPr="00306457">
              <w:t>4.2. Evaluate infrast</w:t>
            </w:r>
            <w:r w:rsidRPr="00306457">
              <w:t>ructure arrangements in terms of operational efficiency and service quality.</w:t>
            </w:r>
          </w:p>
          <w:p w:rsidR="00000000" w:rsidRPr="00306457" w:rsidP="00306457">
            <w:pPr>
              <w:pStyle w:val="List"/>
            </w:pPr>
            <w:r w:rsidRPr="00306457">
              <w:t>4.3. Use information to enhance future event planning.</w:t>
            </w:r>
          </w:p>
        </w:tc>
      </w:tr>
    </w:tbl>
    <w:p w:rsidR="00000000" w:rsidRPr="00306457" w:rsidP="00306457">
      <w:pPr>
        <w:pStyle w:val="BodyText"/>
      </w:pPr>
    </w:p>
    <w:p w:rsidR="00000000" w:rsidRPr="00306457" w:rsidP="00306457">
      <w:pPr>
        <w:pStyle w:val="AllowPageBreak"/>
      </w:pPr>
    </w:p>
    <w:p w:rsidR="00000000" w:rsidRPr="00306457" w:rsidP="00306457">
      <w:pPr>
        <w:pStyle w:val="Heading1"/>
      </w:pPr>
      <w:bookmarkStart w:id="7" w:name="O_1228205"/>
      <w:bookmarkEnd w:id="7"/>
      <w:r w:rsidRPr="003064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rPr>
                <w:rStyle w:val="Emphasis"/>
              </w:rPr>
              <w:t>Foundation skills essential to performance in this unit, but not explicit in the perf</w:t>
            </w:r>
            <w:r w:rsidRPr="00306457">
              <w:rPr>
                <w:rStyle w:val="Emphasis"/>
              </w:rPr>
              <w:t>ormance criteria are listed here, along with a brief context statement.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BodyText"/>
            </w:pPr>
            <w:r w:rsidRPr="0030645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rPr>
                <w:rStyle w:val="SpecialBold"/>
              </w:rPr>
              <w:t>DESCRIPTION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Bullet"/>
              <w:rPr>
                <w:lang w:val="en-NZ"/>
              </w:rPr>
            </w:pPr>
            <w:r w:rsidRPr="00306457">
              <w:t>interpret complex event documentation.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Bullet"/>
            </w:pPr>
            <w:r w:rsidRPr="00306457">
              <w:t>conduct negotiations for the supply of products and services</w:t>
            </w:r>
          </w:p>
          <w:p w:rsidR="00000000" w:rsidP="00306457">
            <w:pPr>
              <w:pStyle w:val="ListBullet"/>
              <w:rPr>
                <w:lang w:val="en-NZ"/>
              </w:rPr>
            </w:pPr>
            <w:r w:rsidRPr="00306457">
              <w:t xml:space="preserve">manage relationships with infrastructure contractors and </w:t>
            </w:r>
            <w:r w:rsidRPr="00306457">
              <w:t>other stakeholders.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Bullet"/>
            </w:pPr>
            <w:r w:rsidRPr="00306457">
              <w:t>evaluate event budgets</w:t>
            </w:r>
          </w:p>
          <w:p w:rsidR="00000000" w:rsidP="00306457">
            <w:pPr>
              <w:pStyle w:val="ListBullet"/>
              <w:rPr>
                <w:lang w:val="en-NZ"/>
              </w:rPr>
            </w:pPr>
            <w:r w:rsidRPr="00306457">
              <w:t>negotiate costs.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Bullet"/>
              <w:rPr>
                <w:lang w:val="en-NZ"/>
              </w:rPr>
            </w:pPr>
            <w:r w:rsidRPr="00306457">
              <w:t>maintain and expand knowledge of infrastructure options and services.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ListBullet"/>
              <w:rPr>
                <w:lang w:val="en-NZ"/>
              </w:rPr>
            </w:pPr>
            <w:r w:rsidRPr="00306457">
              <w:t>integrate potentially competing operational and management requirements.</w:t>
            </w:r>
          </w:p>
        </w:tc>
      </w:tr>
      <w:tr w:rsidTr="00306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457">
            <w:pPr>
              <w:pStyle w:val="BodyText"/>
              <w:rPr>
                <w:lang w:val="en-NZ"/>
              </w:rPr>
            </w:pPr>
            <w:r w:rsidRPr="0030645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457" w:rsidP="00306457">
            <w:pPr>
              <w:pStyle w:val="ListBullet"/>
            </w:pPr>
            <w:r w:rsidRPr="00306457">
              <w:t>take responsibility for the complete process of organising infrastructure and contractor management.</w:t>
            </w:r>
          </w:p>
        </w:tc>
      </w:tr>
    </w:tbl>
    <w:p w:rsidR="00000000" w:rsidRPr="00306457" w:rsidP="00306457">
      <w:pPr>
        <w:pStyle w:val="BodyText"/>
      </w:pPr>
    </w:p>
    <w:p w:rsidR="00000000" w:rsidRPr="00306457" w:rsidP="00306457">
      <w:pPr>
        <w:pStyle w:val="AllowPageBreak"/>
      </w:pPr>
    </w:p>
    <w:p w:rsidR="00000000" w:rsidRPr="00306457" w:rsidP="00306457">
      <w:pPr>
        <w:pStyle w:val="Heading1"/>
      </w:pPr>
      <w:bookmarkStart w:id="8" w:name="O_1228204"/>
      <w:bookmarkEnd w:id="8"/>
      <w:r w:rsidRPr="00306457">
        <w:t>Unit Mapping Information</w:t>
      </w:r>
    </w:p>
    <w:p w:rsidR="00000000" w:rsidRPr="00306457" w:rsidP="002910A0">
      <w:pPr>
        <w:pStyle w:val="BodyText"/>
      </w:pPr>
      <w:r w:rsidRPr="00306457">
        <w:t>Supersedes and is equivalent to SITEEVT009 Organise event infrastructure.</w:t>
      </w:r>
    </w:p>
    <w:p w:rsidR="00000000" w:rsidRPr="00306457" w:rsidP="00306457">
      <w:pPr>
        <w:pStyle w:val="Heading1"/>
      </w:pPr>
      <w:bookmarkStart w:id="9" w:name="O_1228197"/>
      <w:bookmarkEnd w:id="9"/>
      <w:r w:rsidRPr="00306457">
        <w:t>Links</w:t>
      </w:r>
    </w:p>
    <w:p w:rsidR="00000000" w:rsidRPr="00306457" w:rsidP="002910A0">
      <w:pPr>
        <w:pStyle w:val="BodyText"/>
      </w:pPr>
      <w:r w:rsidRPr="00306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800A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06457" w:rsidP="002910A0">
      <w:pPr>
        <w:pStyle w:val="BodyText"/>
        <w:sectPr w:rsidSect="003064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6457" w:rsidP="00306457">
      <w:pPr>
        <w:pStyle w:val="SuperHeading"/>
      </w:pPr>
      <w:r w:rsidRPr="00306457">
        <w:t>Assessment Requirements for SITEEVT027 Organise event infrastru</w:t>
      </w:r>
      <w:r w:rsidRPr="00306457">
        <w:t>cture</w:t>
      </w:r>
    </w:p>
    <w:p w:rsidR="00000000" w:rsidRPr="00306457" w:rsidP="00306457">
      <w:pPr>
        <w:pStyle w:val="Heading1"/>
      </w:pPr>
      <w:bookmarkStart w:id="10" w:name="O_1228199"/>
      <w:bookmarkEnd w:id="10"/>
      <w:r w:rsidRPr="00306457">
        <w:t>Modification History</w:t>
      </w:r>
    </w:p>
    <w:p w:rsidR="00000000" w:rsidRPr="00306457" w:rsidP="002910A0">
      <w:pPr>
        <w:pStyle w:val="BodyText"/>
      </w:pPr>
      <w:r w:rsidRPr="00306457">
        <w:t>Not applicable.</w:t>
      </w:r>
    </w:p>
    <w:p w:rsidR="00000000" w:rsidRPr="00306457" w:rsidP="00306457">
      <w:pPr>
        <w:pStyle w:val="Heading1"/>
      </w:pPr>
      <w:bookmarkStart w:id="11" w:name="O_1228202"/>
      <w:bookmarkEnd w:id="11"/>
      <w:r w:rsidRPr="00306457">
        <w:t>Performance Evidence</w:t>
      </w:r>
    </w:p>
    <w:p w:rsidR="00000000" w:rsidRPr="00306457" w:rsidP="002910A0">
      <w:pPr>
        <w:pStyle w:val="BodyText"/>
      </w:pPr>
      <w:r w:rsidRPr="00306457">
        <w:t>Evidence of the ability to complete tasks outlined in elements and performance criteria of this unit in the context of the job role, and:</w:t>
      </w:r>
    </w:p>
    <w:p w:rsidR="00000000" w:rsidRPr="00306457" w:rsidP="00306457">
      <w:pPr>
        <w:pStyle w:val="ListBullet"/>
      </w:pPr>
      <w:r w:rsidRPr="00306457">
        <w:t>develop infrastructure requirements for a venue or site in consultation with stakeholders and relevant authorities for at least one event with multiple operational components for:</w:t>
      </w:r>
    </w:p>
    <w:p w:rsidR="00000000" w:rsidRPr="00306457" w:rsidP="00306457">
      <w:pPr>
        <w:pStyle w:val="ListBullet2"/>
      </w:pPr>
      <w:r w:rsidRPr="00306457">
        <w:t>an established event location</w:t>
      </w:r>
    </w:p>
    <w:p w:rsidR="00000000" w:rsidRPr="00306457" w:rsidP="00306457">
      <w:pPr>
        <w:pStyle w:val="ListBullet2"/>
      </w:pPr>
      <w:r w:rsidRPr="00306457">
        <w:t>an untested event location</w:t>
      </w:r>
    </w:p>
    <w:p w:rsidR="00000000" w:rsidRPr="00306457" w:rsidP="00306457">
      <w:pPr>
        <w:pStyle w:val="ListBullet"/>
      </w:pPr>
      <w:r w:rsidRPr="00306457">
        <w:t>source and select infrastructure and facilities contractors required to meet event specifications for the above event</w:t>
      </w:r>
    </w:p>
    <w:p w:rsidR="00000000" w:rsidRPr="00306457" w:rsidP="00306457">
      <w:pPr>
        <w:pStyle w:val="ListBullet"/>
      </w:pPr>
      <w:r w:rsidRPr="00306457">
        <w:t>monitor and evaluate the success of the above event infrastructure by:</w:t>
      </w:r>
    </w:p>
    <w:p w:rsidR="00000000" w:rsidRPr="00306457" w:rsidP="00306457">
      <w:pPr>
        <w:pStyle w:val="ListBullet2"/>
      </w:pPr>
      <w:r w:rsidRPr="00306457">
        <w:t>ensuring work is completed against event requirements and schedule</w:t>
      </w:r>
      <w:r w:rsidRPr="00306457">
        <w:t>s</w:t>
      </w:r>
    </w:p>
    <w:p w:rsidR="00000000" w:rsidRPr="00306457" w:rsidP="00306457">
      <w:pPr>
        <w:pStyle w:val="ListBullet2"/>
      </w:pPr>
      <w:r w:rsidRPr="00306457">
        <w:t>ensuring infrastructure and facility requirements are supplied as required</w:t>
      </w:r>
    </w:p>
    <w:p w:rsidR="00000000" w:rsidRPr="00306457" w:rsidP="00306457">
      <w:pPr>
        <w:pStyle w:val="ListBullet2"/>
      </w:pPr>
      <w:r w:rsidRPr="00306457">
        <w:t>obtaining feedback from stakeholders.</w:t>
      </w:r>
    </w:p>
    <w:p w:rsidR="00000000" w:rsidRPr="00306457" w:rsidP="00306457">
      <w:pPr>
        <w:pStyle w:val="AllowPageBreak"/>
      </w:pPr>
    </w:p>
    <w:p w:rsidR="00000000" w:rsidRPr="00306457" w:rsidP="00306457">
      <w:pPr>
        <w:pStyle w:val="Heading1"/>
      </w:pPr>
      <w:bookmarkStart w:id="12" w:name="O_1228201"/>
      <w:bookmarkEnd w:id="12"/>
      <w:r w:rsidRPr="00306457">
        <w:t>Knowledge Evidence</w:t>
      </w:r>
    </w:p>
    <w:p w:rsidR="00000000" w:rsidRPr="00306457" w:rsidP="002910A0">
      <w:pPr>
        <w:pStyle w:val="BodyText"/>
      </w:pPr>
      <w:r w:rsidRPr="00306457">
        <w:t xml:space="preserve">Demonstrated knowledge required to complete the tasks outlined in elements and performance criteria of </w:t>
      </w:r>
      <w:r w:rsidRPr="00306457">
        <w:t>this unit:</w:t>
      </w:r>
    </w:p>
    <w:p w:rsidR="00000000" w:rsidRPr="00306457" w:rsidP="00306457">
      <w:pPr>
        <w:pStyle w:val="ListBullet"/>
      </w:pPr>
      <w:r w:rsidRPr="00306457">
        <w:t>roles and responsibilities of organisations involved in production of events</w:t>
      </w:r>
    </w:p>
    <w:p w:rsidR="00000000" w:rsidRPr="00306457" w:rsidP="00306457">
      <w:pPr>
        <w:pStyle w:val="ListBullet"/>
      </w:pPr>
      <w:r w:rsidRPr="00306457">
        <w:t>types of events</w:t>
      </w:r>
    </w:p>
    <w:p w:rsidR="00000000" w:rsidRPr="00306457" w:rsidP="00306457">
      <w:pPr>
        <w:pStyle w:val="ListBullet"/>
      </w:pPr>
      <w:r w:rsidRPr="00306457">
        <w:t>infrastructure and facility requirements for different event types:</w:t>
      </w:r>
    </w:p>
    <w:p w:rsidR="00000000" w:rsidRPr="00306457" w:rsidP="00306457">
      <w:pPr>
        <w:pStyle w:val="ListBullet2"/>
      </w:pPr>
      <w:r w:rsidRPr="00306457">
        <w:t>emergency services</w:t>
      </w:r>
    </w:p>
    <w:p w:rsidR="00000000" w:rsidRPr="00306457" w:rsidP="00306457">
      <w:pPr>
        <w:pStyle w:val="ListBullet2"/>
      </w:pPr>
      <w:r w:rsidRPr="00306457">
        <w:t>parking</w:t>
      </w:r>
    </w:p>
    <w:p w:rsidR="00000000" w:rsidRPr="00306457" w:rsidP="00306457">
      <w:pPr>
        <w:pStyle w:val="ListBullet2"/>
      </w:pPr>
      <w:r w:rsidRPr="00306457">
        <w:t>signage</w:t>
      </w:r>
    </w:p>
    <w:p w:rsidR="00000000" w:rsidRPr="00306457" w:rsidP="00306457">
      <w:pPr>
        <w:pStyle w:val="ListBullet2"/>
      </w:pPr>
      <w:r w:rsidRPr="00306457">
        <w:t>temporary structures:</w:t>
      </w:r>
    </w:p>
    <w:p w:rsidR="00000000" w:rsidRPr="00306457" w:rsidP="00306457">
      <w:pPr>
        <w:pStyle w:val="ListBullet3"/>
      </w:pPr>
      <w:r w:rsidRPr="00306457">
        <w:t>access</w:t>
      </w:r>
    </w:p>
    <w:p w:rsidR="00000000" w:rsidRPr="00306457" w:rsidP="00306457">
      <w:pPr>
        <w:pStyle w:val="ListBullet3"/>
      </w:pPr>
      <w:r w:rsidRPr="00306457">
        <w:t>accommodation</w:t>
      </w:r>
    </w:p>
    <w:p w:rsidR="00000000" w:rsidRPr="00306457" w:rsidP="00306457">
      <w:pPr>
        <w:pStyle w:val="ListBullet3"/>
      </w:pPr>
      <w:r w:rsidRPr="00306457">
        <w:t>camp-sites</w:t>
      </w:r>
    </w:p>
    <w:p w:rsidR="00000000" w:rsidRPr="00306457" w:rsidP="00306457">
      <w:pPr>
        <w:pStyle w:val="ListBullet3"/>
      </w:pPr>
      <w:r w:rsidRPr="00306457">
        <w:t>catering</w:t>
      </w:r>
    </w:p>
    <w:p w:rsidR="00000000" w:rsidRPr="00306457" w:rsidP="00306457">
      <w:pPr>
        <w:pStyle w:val="ListBullet3"/>
      </w:pPr>
      <w:r w:rsidRPr="00306457">
        <w:t>dining</w:t>
      </w:r>
    </w:p>
    <w:p w:rsidR="00000000" w:rsidRPr="00306457" w:rsidP="00306457">
      <w:pPr>
        <w:pStyle w:val="ListBullet3"/>
      </w:pPr>
      <w:r w:rsidRPr="00306457">
        <w:t>marquees</w:t>
      </w:r>
    </w:p>
    <w:p w:rsidR="00000000" w:rsidRPr="00306457" w:rsidP="00306457">
      <w:pPr>
        <w:pStyle w:val="ListBullet3"/>
      </w:pPr>
      <w:r w:rsidRPr="00306457">
        <w:t>scaffolding</w:t>
      </w:r>
    </w:p>
    <w:p w:rsidR="00000000" w:rsidRPr="00306457" w:rsidP="00306457">
      <w:pPr>
        <w:pStyle w:val="ListBullet3"/>
      </w:pPr>
      <w:r w:rsidRPr="00306457">
        <w:t>tents</w:t>
      </w:r>
    </w:p>
    <w:p w:rsidR="00000000" w:rsidRPr="00306457" w:rsidP="00306457">
      <w:pPr>
        <w:pStyle w:val="ListBullet3"/>
      </w:pPr>
      <w:r w:rsidRPr="00306457">
        <w:t>toilets</w:t>
      </w:r>
    </w:p>
    <w:p w:rsidR="00000000" w:rsidRPr="00306457" w:rsidP="00306457">
      <w:pPr>
        <w:pStyle w:val="ListBullet2"/>
      </w:pPr>
      <w:r w:rsidRPr="00306457">
        <w:t>utilities:</w:t>
      </w:r>
    </w:p>
    <w:p w:rsidR="00000000" w:rsidRPr="00306457" w:rsidP="00306457">
      <w:pPr>
        <w:pStyle w:val="ListBullet3"/>
      </w:pPr>
      <w:r w:rsidRPr="00306457">
        <w:t>air conditioning or heating</w:t>
      </w:r>
    </w:p>
    <w:p w:rsidR="00000000" w:rsidRPr="00306457" w:rsidP="00306457">
      <w:pPr>
        <w:pStyle w:val="ListBullet3"/>
      </w:pPr>
      <w:r w:rsidRPr="00306457">
        <w:t>power supply</w:t>
      </w:r>
    </w:p>
    <w:p w:rsidR="00000000" w:rsidRPr="00306457" w:rsidP="00306457">
      <w:pPr>
        <w:pStyle w:val="ListBullet3"/>
      </w:pPr>
      <w:r w:rsidRPr="00306457">
        <w:t>waste disposal and recycling facilities</w:t>
      </w:r>
    </w:p>
    <w:p w:rsidR="00000000" w:rsidRPr="00306457" w:rsidP="00306457">
      <w:pPr>
        <w:pStyle w:val="ListBullet3"/>
      </w:pPr>
      <w:r w:rsidRPr="00306457">
        <w:t>water supply</w:t>
      </w:r>
    </w:p>
    <w:p w:rsidR="00000000" w:rsidRPr="00306457" w:rsidP="00306457">
      <w:pPr>
        <w:pStyle w:val="ListBullet"/>
      </w:pPr>
      <w:r w:rsidRPr="00306457">
        <w:t>suitability of infrastructure for different venues</w:t>
      </w:r>
    </w:p>
    <w:p w:rsidR="00000000" w:rsidRPr="00306457" w:rsidP="00306457">
      <w:pPr>
        <w:pStyle w:val="ListBullet"/>
      </w:pPr>
      <w:r w:rsidRPr="00306457">
        <w:t>suppliers of event infrastructure and facilities</w:t>
      </w:r>
    </w:p>
    <w:p w:rsidR="00000000" w:rsidRPr="00306457" w:rsidP="00306457">
      <w:pPr>
        <w:pStyle w:val="ListBullet"/>
      </w:pPr>
      <w:r w:rsidRPr="00306457">
        <w:t>sources of information on infrastructure and facilities</w:t>
      </w:r>
    </w:p>
    <w:p w:rsidR="00000000" w:rsidRPr="00306457" w:rsidP="00306457">
      <w:pPr>
        <w:pStyle w:val="ListBullet"/>
      </w:pPr>
      <w:r w:rsidRPr="00306457">
        <w:t>product and service terminology, features, options and current technology for event infrastructure and facilities:</w:t>
      </w:r>
    </w:p>
    <w:p w:rsidR="00000000" w:rsidRPr="00306457" w:rsidP="00306457">
      <w:pPr>
        <w:pStyle w:val="ListBullet2"/>
      </w:pPr>
      <w:r w:rsidRPr="00306457">
        <w:t>temporary water and power supply</w:t>
      </w:r>
    </w:p>
    <w:p w:rsidR="00000000" w:rsidRPr="00306457" w:rsidP="00306457">
      <w:pPr>
        <w:pStyle w:val="ListBullet2"/>
      </w:pPr>
      <w:r w:rsidRPr="00306457">
        <w:t>po</w:t>
      </w:r>
      <w:r w:rsidRPr="00306457">
        <w:t>rtable and demountable toilets</w:t>
      </w:r>
    </w:p>
    <w:p w:rsidR="00000000" w:rsidRPr="00306457" w:rsidP="00306457">
      <w:pPr>
        <w:pStyle w:val="ListBullet2"/>
      </w:pPr>
      <w:r w:rsidRPr="00306457">
        <w:t>temporary structures</w:t>
      </w:r>
    </w:p>
    <w:p w:rsidR="00000000" w:rsidRPr="00306457" w:rsidP="00306457">
      <w:pPr>
        <w:pStyle w:val="ListBullet2"/>
      </w:pPr>
      <w:r w:rsidRPr="00306457">
        <w:t>mobile catering outlets</w:t>
      </w:r>
    </w:p>
    <w:p w:rsidR="00000000" w:rsidRPr="00306457" w:rsidP="00306457">
      <w:pPr>
        <w:pStyle w:val="ListBullet2"/>
      </w:pPr>
      <w:r w:rsidRPr="00306457">
        <w:t>waste disposal and recycling</w:t>
      </w:r>
    </w:p>
    <w:p w:rsidR="00000000" w:rsidRPr="00306457" w:rsidP="00306457">
      <w:pPr>
        <w:pStyle w:val="ListBullet2"/>
      </w:pPr>
      <w:r w:rsidRPr="00306457">
        <w:t>accommodation</w:t>
      </w:r>
    </w:p>
    <w:p w:rsidR="00000000" w:rsidRPr="00306457" w:rsidP="00306457">
      <w:pPr>
        <w:pStyle w:val="ListBullet"/>
      </w:pPr>
      <w:r w:rsidRPr="00306457">
        <w:t>relevant authorities with which liaison takes place for the organisation of event infrastructure and facilities:</w:t>
      </w:r>
    </w:p>
    <w:p w:rsidR="00000000" w:rsidRPr="00306457" w:rsidP="00306457">
      <w:pPr>
        <w:pStyle w:val="ListBullet2"/>
      </w:pPr>
      <w:r w:rsidRPr="00306457">
        <w:t>emergency services</w:t>
      </w:r>
    </w:p>
    <w:p w:rsidR="00000000" w:rsidRPr="00306457" w:rsidP="00306457">
      <w:pPr>
        <w:pStyle w:val="ListBullet2"/>
      </w:pPr>
      <w:r w:rsidRPr="00306457">
        <w:t>lan</w:t>
      </w:r>
      <w:r w:rsidRPr="00306457">
        <w:t>d management and protection authorities</w:t>
      </w:r>
    </w:p>
    <w:p w:rsidR="00000000" w:rsidRPr="00306457" w:rsidP="00306457">
      <w:pPr>
        <w:pStyle w:val="ListBullet2"/>
      </w:pPr>
      <w:r w:rsidRPr="00306457">
        <w:t>local government</w:t>
      </w:r>
    </w:p>
    <w:p w:rsidR="00000000" w:rsidRPr="00306457" w:rsidP="00306457">
      <w:pPr>
        <w:pStyle w:val="ListBullet2"/>
      </w:pPr>
      <w:r w:rsidRPr="00306457">
        <w:t>state or territory government</w:t>
      </w:r>
    </w:p>
    <w:p w:rsidR="00000000" w:rsidRPr="00306457" w:rsidP="00306457">
      <w:pPr>
        <w:pStyle w:val="ListBullet"/>
      </w:pPr>
      <w:r w:rsidRPr="00306457">
        <w:t>issues that impact on the organisation of events in venues or sites without the above listed infrastructure or facilities and:</w:t>
      </w:r>
    </w:p>
    <w:p w:rsidR="00000000" w:rsidRPr="00306457" w:rsidP="00306457">
      <w:pPr>
        <w:pStyle w:val="ListBullet2"/>
      </w:pPr>
      <w:r w:rsidRPr="00306457">
        <w:t>sustainability considerations when introducing event infrastructure and facilities to venues and sites:</w:t>
      </w:r>
    </w:p>
    <w:p w:rsidR="00000000" w:rsidRPr="00306457" w:rsidP="00306457">
      <w:pPr>
        <w:pStyle w:val="ListBullet3"/>
      </w:pPr>
      <w:r w:rsidRPr="00306457">
        <w:t>community and cultural values</w:t>
      </w:r>
    </w:p>
    <w:p w:rsidR="00000000" w:rsidRPr="00306457" w:rsidP="00306457">
      <w:pPr>
        <w:pStyle w:val="ListBullet3"/>
      </w:pPr>
      <w:r w:rsidRPr="00306457">
        <w:t>environmental impacts</w:t>
      </w:r>
    </w:p>
    <w:p w:rsidR="00000000" w:rsidRPr="00306457" w:rsidP="00306457">
      <w:pPr>
        <w:pStyle w:val="ListBullet2"/>
      </w:pPr>
      <w:r w:rsidRPr="00306457">
        <w:t>regulatory considerations associated with event infrastructure and facilities relating to:</w:t>
      </w:r>
    </w:p>
    <w:p w:rsidR="00000000" w:rsidRPr="00306457" w:rsidP="00306457">
      <w:pPr>
        <w:pStyle w:val="ListBullet3"/>
      </w:pPr>
      <w:r w:rsidRPr="00306457">
        <w:t>builders</w:t>
      </w:r>
    </w:p>
    <w:p w:rsidR="00000000" w:rsidRPr="00306457" w:rsidP="00306457">
      <w:pPr>
        <w:pStyle w:val="ListBullet3"/>
      </w:pPr>
      <w:r w:rsidRPr="00306457">
        <w:t>catering facilities</w:t>
      </w:r>
    </w:p>
    <w:p w:rsidR="00000000" w:rsidRPr="00306457" w:rsidP="00306457">
      <w:pPr>
        <w:pStyle w:val="ListBullet3"/>
      </w:pPr>
      <w:r w:rsidRPr="00306457">
        <w:t>electricians</w:t>
      </w:r>
    </w:p>
    <w:p w:rsidR="00000000" w:rsidRPr="00306457" w:rsidP="00306457">
      <w:pPr>
        <w:pStyle w:val="ListBullet3"/>
      </w:pPr>
      <w:r w:rsidRPr="00306457">
        <w:t>plumbers</w:t>
      </w:r>
    </w:p>
    <w:p w:rsidR="00000000" w:rsidRPr="00306457" w:rsidP="00306457">
      <w:pPr>
        <w:pStyle w:val="ListBullet3"/>
      </w:pPr>
      <w:r w:rsidRPr="00306457">
        <w:t>local government noise regulations</w:t>
      </w:r>
    </w:p>
    <w:p w:rsidR="00000000" w:rsidRPr="00306457" w:rsidP="00306457">
      <w:pPr>
        <w:pStyle w:val="ListBullet3"/>
      </w:pPr>
      <w:r w:rsidRPr="00306457">
        <w:t>special effects</w:t>
      </w:r>
    </w:p>
    <w:p w:rsidR="00000000" w:rsidRPr="00306457" w:rsidP="00306457">
      <w:pPr>
        <w:pStyle w:val="ListBullet3"/>
      </w:pPr>
      <w:r w:rsidRPr="00306457">
        <w:t>waste management</w:t>
      </w:r>
    </w:p>
    <w:p w:rsidR="00000000" w:rsidRPr="00306457" w:rsidP="00306457">
      <w:pPr>
        <w:pStyle w:val="ListBullet"/>
      </w:pPr>
      <w:r w:rsidRPr="00306457">
        <w:t>problems that occur in event contractor management and strategies to mitigate risk</w:t>
      </w:r>
    </w:p>
    <w:p w:rsidR="00000000" w:rsidRPr="00306457" w:rsidP="00306457">
      <w:pPr>
        <w:pStyle w:val="ListBullet"/>
      </w:pPr>
      <w:r w:rsidRPr="00306457">
        <w:t>formats and key inclusions for contractor briefing and specification documents</w:t>
      </w:r>
    </w:p>
    <w:p w:rsidR="00000000" w:rsidRPr="00306457" w:rsidP="00306457">
      <w:pPr>
        <w:pStyle w:val="ListBullet"/>
      </w:pPr>
      <w:r w:rsidRPr="00306457">
        <w:t>organisational procedures to evaluate event infrastructure operations.</w:t>
      </w:r>
    </w:p>
    <w:p w:rsidR="00000000" w:rsidRPr="00306457" w:rsidP="00306457">
      <w:pPr>
        <w:pStyle w:val="AllowPageBreak"/>
      </w:pPr>
    </w:p>
    <w:p w:rsidR="00000000" w:rsidRPr="00306457" w:rsidP="00306457">
      <w:pPr>
        <w:pStyle w:val="Heading1"/>
      </w:pPr>
      <w:bookmarkStart w:id="13" w:name="O_1228200"/>
      <w:bookmarkEnd w:id="13"/>
      <w:r w:rsidRPr="00306457">
        <w:t>Assessment Conditions</w:t>
      </w:r>
    </w:p>
    <w:p w:rsidR="00000000" w:rsidRPr="00306457" w:rsidP="002910A0">
      <w:pPr>
        <w:pStyle w:val="BodyText"/>
      </w:pPr>
      <w:r w:rsidRPr="00306457">
        <w:t>Skills must be demonstrated in:</w:t>
      </w:r>
    </w:p>
    <w:p w:rsidR="00000000" w:rsidRPr="00306457" w:rsidP="00306457">
      <w:pPr>
        <w:pStyle w:val="ListBullet"/>
      </w:pPr>
      <w:r w:rsidRPr="00306457">
        <w:t>a live event; or</w:t>
      </w:r>
    </w:p>
    <w:p w:rsidR="00000000" w:rsidRPr="00306457" w:rsidP="00306457">
      <w:pPr>
        <w:pStyle w:val="ListBullet"/>
      </w:pPr>
      <w:r w:rsidRPr="00306457">
        <w:t>a simulated eve</w:t>
      </w:r>
      <w:r w:rsidRPr="00306457">
        <w:t>nt set up for the purpose of skills assessment.</w:t>
      </w:r>
    </w:p>
    <w:p w:rsidR="00000000" w:rsidRPr="00306457" w:rsidP="002910A0">
      <w:pPr>
        <w:pStyle w:val="BodyText"/>
      </w:pPr>
      <w:r w:rsidRPr="00306457">
        <w:t>Assessment must ensure access to:</w:t>
      </w:r>
    </w:p>
    <w:p w:rsidR="00000000" w:rsidRPr="00306457" w:rsidP="00306457">
      <w:pPr>
        <w:pStyle w:val="ListBullet"/>
      </w:pPr>
      <w:r w:rsidRPr="00306457">
        <w:t>comprehensive event plans</w:t>
      </w:r>
    </w:p>
    <w:p w:rsidR="00000000" w:rsidRPr="00306457" w:rsidP="00306457">
      <w:pPr>
        <w:pStyle w:val="ListBullet"/>
      </w:pPr>
      <w:r w:rsidRPr="00306457">
        <w:t>dedicated event budgets</w:t>
      </w:r>
    </w:p>
    <w:p w:rsidR="00000000" w:rsidRPr="00306457" w:rsidP="00306457">
      <w:pPr>
        <w:pStyle w:val="ListBullet"/>
      </w:pPr>
      <w:r w:rsidRPr="00306457">
        <w:t>formal communications plans</w:t>
      </w:r>
    </w:p>
    <w:p w:rsidR="00000000" w:rsidRPr="00306457" w:rsidP="00306457">
      <w:pPr>
        <w:pStyle w:val="ListBullet"/>
      </w:pPr>
      <w:r w:rsidRPr="00306457">
        <w:t>venues and sites where infrastructure is required</w:t>
      </w:r>
    </w:p>
    <w:p w:rsidR="00000000" w:rsidRPr="00306457" w:rsidP="00306457">
      <w:pPr>
        <w:pStyle w:val="ListBullet"/>
      </w:pPr>
      <w:r w:rsidRPr="00306457">
        <w:t>suppliers, local authorities and stakeholders</w:t>
      </w:r>
      <w:r w:rsidRPr="00306457">
        <w:t xml:space="preserve"> with whom the individual can interact. These can be:</w:t>
      </w:r>
    </w:p>
    <w:p w:rsidR="00000000" w:rsidRPr="00306457" w:rsidP="00306457">
      <w:pPr>
        <w:pStyle w:val="ListBullet2"/>
      </w:pPr>
      <w:r w:rsidRPr="00306457">
        <w:t>those in an industry workplace who are assisted by the individual during the assessment process; or</w:t>
      </w:r>
    </w:p>
    <w:p w:rsidR="00000000" w:rsidRPr="00306457" w:rsidP="00306457">
      <w:pPr>
        <w:pStyle w:val="ListBullet2"/>
      </w:pPr>
      <w:r w:rsidRPr="00306457">
        <w:t>individuals who participate in role plays or simulated activities, set up for the purpose of assessment, in a simulated industry environment operated within a training organisation.</w:t>
      </w:r>
    </w:p>
    <w:p w:rsidR="00000000" w:rsidRPr="00306457" w:rsidP="002910A0">
      <w:pPr>
        <w:pStyle w:val="BodyText"/>
      </w:pPr>
      <w:r w:rsidRPr="00306457">
        <w:t>Assessors must satisfy the Standards for Registered Training Organisations</w:t>
      </w:r>
      <w:r w:rsidRPr="00306457">
        <w:t>’ requirements for assessors and have worked in industry for at least three years where they have applied the skills and knowledge of this unit of competency.</w:t>
      </w:r>
    </w:p>
    <w:p w:rsidR="00000000" w:rsidRPr="00306457" w:rsidP="00306457">
      <w:pPr>
        <w:pStyle w:val="Heading1"/>
      </w:pPr>
      <w:bookmarkStart w:id="14" w:name="O_1228198"/>
      <w:bookmarkEnd w:id="14"/>
      <w:r w:rsidRPr="00306457">
        <w:t>Links</w:t>
      </w:r>
    </w:p>
    <w:p w:rsidR="00000000" w:rsidRPr="00306457" w:rsidP="002910A0">
      <w:pPr>
        <w:pStyle w:val="BodyText"/>
      </w:pPr>
      <w:r w:rsidRPr="00306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800A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06457" w:rsidP="00306457"/>
    <w:sectPr w:rsidSect="003064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 w:rsidRPr="002910A0" w:rsidP="00291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0" w:rsidP="00306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10A0" w:rsidP="00306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910A0" w:rsidP="003064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 w:rsidP="00306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10A0">
      <w:t>Approved</w:t>
    </w:r>
    <w:r w:rsidR="002910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10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10A0">
      <w:rPr>
        <w:noProof/>
      </w:rPr>
      <w:t>5</w:t>
    </w:r>
    <w:r>
      <w:rPr>
        <w:noProof/>
      </w:rPr>
      <w:fldChar w:fldCharType="end"/>
    </w:r>
  </w:p>
  <w:p w:rsidR="00306457" w:rsidP="00306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10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10A0">
      <w:t>Service and Creative Skills Australia</w:t>
    </w:r>
    <w:r w:rsidR="002910A0">
      <w:fldChar w:fldCharType="end"/>
    </w:r>
  </w:p>
  <w:p w:rsidR="00306457" w:rsidP="00306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457" w:rsidRPr="002910A0" w:rsidP="00291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0" w:rsidRPr="002D2AF8" w:rsidP="00306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SITEEVT027 Organise event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10A0" w:rsidP="003064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457" w:rsidRPr="002D2AF8" w:rsidP="00306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10A0">
      <w:t>SITEEVT027 Organise event infrastructure</w:t>
    </w:r>
    <w:r w:rsidR="002910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10A0">
      <w:rPr>
        <w:noProof/>
      </w:rPr>
      <w:t>2 March 2025</w:t>
    </w:r>
    <w:r>
      <w:fldChar w:fldCharType="end"/>
    </w:r>
  </w:p>
  <w:p w:rsidR="00306457" w:rsidP="00306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AA9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C4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02F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457"/>
  </w:style>
  <w:style w:type="character" w:customStyle="1" w:styleId="Heading1Char">
    <w:name w:val="Heading 1 Char"/>
    <w:basedOn w:val="DefaultParagraphFont"/>
    <w:link w:val="Heading1"/>
    <w:rsid w:val="00306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4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64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4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457"/>
    <w:rPr>
      <w:b/>
      <w:spacing w:val="0"/>
    </w:rPr>
  </w:style>
  <w:style w:type="paragraph" w:styleId="ListBullet2">
    <w:name w:val="List Bullet 2"/>
    <w:basedOn w:val="List2"/>
    <w:rsid w:val="0030645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6457"/>
    <w:rPr>
      <w:i/>
    </w:rPr>
  </w:style>
  <w:style w:type="paragraph" w:customStyle="1" w:styleId="SuperHeading">
    <w:name w:val="SuperHeading"/>
    <w:basedOn w:val="Normal"/>
    <w:rsid w:val="00306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64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6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4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6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4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457"/>
  </w:style>
  <w:style w:type="paragraph" w:styleId="TableofFigures">
    <w:name w:val="table of figures"/>
    <w:basedOn w:val="Normal"/>
    <w:next w:val="Normal"/>
    <w:semiHidden/>
    <w:rsid w:val="00306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4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6457"/>
    <w:rPr>
      <w:rFonts w:ascii="Wingdings" w:hAnsi="Wingdings"/>
    </w:rPr>
  </w:style>
  <w:style w:type="paragraph" w:customStyle="1" w:styleId="TableHeading">
    <w:name w:val="Table Heading"/>
    <w:basedOn w:val="HeadingBase"/>
    <w:rsid w:val="00306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457"/>
    <w:rPr>
      <w:color w:val="0033CC"/>
      <w:u w:val="none"/>
    </w:rPr>
  </w:style>
  <w:style w:type="paragraph" w:customStyle="1" w:styleId="BodyTextRight">
    <w:name w:val="Body Text Right"/>
    <w:basedOn w:val="BodyText"/>
    <w:rsid w:val="00306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4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457"/>
    <w:rPr>
      <w:sz w:val="32"/>
    </w:rPr>
  </w:style>
  <w:style w:type="paragraph" w:customStyle="1" w:styleId="HeadingProcedure">
    <w:name w:val="Heading Procedure"/>
    <w:basedOn w:val="HeadingBase"/>
    <w:next w:val="Normal"/>
    <w:rsid w:val="00306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457"/>
    <w:pPr>
      <w:spacing w:before="60" w:after="60"/>
    </w:pPr>
  </w:style>
  <w:style w:type="paragraph" w:styleId="ListContinue">
    <w:name w:val="List Continue"/>
    <w:basedOn w:val="List"/>
    <w:rsid w:val="00306457"/>
    <w:pPr>
      <w:ind w:firstLine="0"/>
    </w:pPr>
  </w:style>
  <w:style w:type="paragraph" w:customStyle="1" w:styleId="ListNote">
    <w:name w:val="List Note"/>
    <w:basedOn w:val="List"/>
    <w:rsid w:val="00306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457"/>
    <w:rPr>
      <w:rFonts w:ascii="Courier New" w:hAnsi="Courier New"/>
    </w:rPr>
  </w:style>
  <w:style w:type="paragraph" w:customStyle="1" w:styleId="NoteBullet">
    <w:name w:val="Note Bullet"/>
    <w:basedOn w:val="Note"/>
    <w:rsid w:val="00306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4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6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457"/>
    <w:rPr>
      <w:b/>
      <w:smallCaps/>
    </w:rPr>
  </w:style>
  <w:style w:type="paragraph" w:customStyle="1" w:styleId="TableListNumber">
    <w:name w:val="Table List Number"/>
    <w:basedOn w:val="ListNumber"/>
    <w:rsid w:val="00306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457"/>
    <w:pPr>
      <w:numPr>
        <w:numId w:val="10"/>
      </w:numPr>
    </w:pPr>
  </w:style>
  <w:style w:type="paragraph" w:customStyle="1" w:styleId="ListAlpha2">
    <w:name w:val="List Alpha 2"/>
    <w:basedOn w:val="List2"/>
    <w:rsid w:val="00306457"/>
    <w:pPr>
      <w:numPr>
        <w:numId w:val="9"/>
      </w:numPr>
    </w:pPr>
  </w:style>
  <w:style w:type="paragraph" w:styleId="List2">
    <w:name w:val="List 2"/>
    <w:basedOn w:val="BodyText"/>
    <w:rsid w:val="00306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4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64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6457"/>
    <w:pPr>
      <w:numPr>
        <w:numId w:val="5"/>
      </w:numPr>
    </w:pPr>
  </w:style>
  <w:style w:type="paragraph" w:styleId="ListContinue2">
    <w:name w:val="List Continue 2"/>
    <w:basedOn w:val="List2"/>
    <w:rsid w:val="00306457"/>
    <w:pPr>
      <w:ind w:firstLine="0"/>
    </w:pPr>
  </w:style>
  <w:style w:type="paragraph" w:styleId="ListContinue3">
    <w:name w:val="List Continue 3"/>
    <w:basedOn w:val="List3"/>
    <w:rsid w:val="00306457"/>
    <w:pPr>
      <w:ind w:left="1021" w:firstLine="0"/>
    </w:pPr>
  </w:style>
  <w:style w:type="paragraph" w:styleId="ListContinue4">
    <w:name w:val="List Continue 4"/>
    <w:basedOn w:val="List4"/>
    <w:rsid w:val="00306457"/>
    <w:pPr>
      <w:ind w:firstLine="0"/>
    </w:pPr>
  </w:style>
  <w:style w:type="paragraph" w:styleId="ListContinue5">
    <w:name w:val="List Continue 5"/>
    <w:basedOn w:val="List5"/>
    <w:rsid w:val="00306457"/>
    <w:pPr>
      <w:ind w:firstLine="0"/>
    </w:pPr>
  </w:style>
  <w:style w:type="paragraph" w:styleId="ListNumber3">
    <w:name w:val="List Number 3"/>
    <w:basedOn w:val="List3"/>
    <w:rsid w:val="00306457"/>
    <w:pPr>
      <w:numPr>
        <w:numId w:val="6"/>
      </w:numPr>
    </w:pPr>
  </w:style>
  <w:style w:type="paragraph" w:styleId="ListNumber4">
    <w:name w:val="List Number 4"/>
    <w:basedOn w:val="List4"/>
    <w:rsid w:val="00306457"/>
    <w:pPr>
      <w:numPr>
        <w:numId w:val="7"/>
      </w:numPr>
    </w:pPr>
  </w:style>
  <w:style w:type="paragraph" w:styleId="ListNumber5">
    <w:name w:val="List Number 5"/>
    <w:basedOn w:val="List5"/>
    <w:rsid w:val="00306457"/>
    <w:pPr>
      <w:numPr>
        <w:numId w:val="8"/>
      </w:numPr>
    </w:pPr>
  </w:style>
  <w:style w:type="paragraph" w:styleId="BlockText">
    <w:name w:val="Block Text"/>
    <w:basedOn w:val="Normal"/>
    <w:rsid w:val="00306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457"/>
    <w:rPr>
      <w:sz w:val="16"/>
      <w:vertAlign w:val="superscript"/>
    </w:rPr>
  </w:style>
  <w:style w:type="character" w:customStyle="1" w:styleId="Symbols">
    <w:name w:val="Symbols"/>
    <w:basedOn w:val="DefaultParagraphFont"/>
    <w:rsid w:val="00306457"/>
    <w:rPr>
      <w:rFonts w:ascii="Symbol" w:hAnsi="Symbol"/>
    </w:rPr>
  </w:style>
  <w:style w:type="character" w:customStyle="1" w:styleId="MenuOptions">
    <w:name w:val="Menu Options"/>
    <w:basedOn w:val="DefaultParagraphFont"/>
    <w:rsid w:val="00306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457"/>
    <w:rPr>
      <w:b/>
    </w:rPr>
  </w:style>
  <w:style w:type="character" w:customStyle="1" w:styleId="Underlined">
    <w:name w:val="Underlined"/>
    <w:basedOn w:val="DefaultParagraphFont"/>
    <w:rsid w:val="00306457"/>
    <w:rPr>
      <w:u w:val="single"/>
    </w:rPr>
  </w:style>
  <w:style w:type="paragraph" w:customStyle="1" w:styleId="TableBodyTextRight">
    <w:name w:val="Table Body Text Right"/>
    <w:basedOn w:val="TableBodyText"/>
    <w:rsid w:val="00306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457"/>
    <w:rPr>
      <w:sz w:val="18"/>
    </w:rPr>
  </w:style>
  <w:style w:type="paragraph" w:customStyle="1" w:styleId="BodySmallRight">
    <w:name w:val="Body Small Right"/>
    <w:basedOn w:val="BodyTextRight"/>
    <w:rsid w:val="00306457"/>
    <w:rPr>
      <w:sz w:val="18"/>
      <w:szCs w:val="18"/>
    </w:rPr>
  </w:style>
  <w:style w:type="paragraph" w:customStyle="1" w:styleId="MarginEdition">
    <w:name w:val="Margin Edition"/>
    <w:basedOn w:val="MarginNote"/>
    <w:rsid w:val="00306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457"/>
    <w:rPr>
      <w:sz w:val="2"/>
      <w:szCs w:val="2"/>
    </w:rPr>
  </w:style>
  <w:style w:type="character" w:customStyle="1" w:styleId="Small">
    <w:name w:val="Small"/>
    <w:basedOn w:val="DefaultParagraphFont"/>
    <w:rsid w:val="00306457"/>
    <w:rPr>
      <w:sz w:val="16"/>
    </w:rPr>
  </w:style>
  <w:style w:type="paragraph" w:customStyle="1" w:styleId="WideTable">
    <w:name w:val="Wide Table"/>
    <w:basedOn w:val="Normal"/>
    <w:rsid w:val="00306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457"/>
  </w:style>
  <w:style w:type="paragraph" w:styleId="Quote">
    <w:name w:val="Quote"/>
    <w:basedOn w:val="Heading1"/>
    <w:link w:val="QuoteChar"/>
    <w:qFormat/>
    <w:rsid w:val="00306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457"/>
    <w:pPr>
      <w:pageBreakBefore/>
    </w:pPr>
  </w:style>
  <w:style w:type="paragraph" w:customStyle="1" w:styleId="Border">
    <w:name w:val="Border"/>
    <w:basedOn w:val="Normal"/>
    <w:qFormat/>
    <w:rsid w:val="00306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457"/>
    <w:rPr>
      <w:u w:val="single"/>
    </w:rPr>
  </w:style>
  <w:style w:type="character" w:customStyle="1" w:styleId="BoldandItalics">
    <w:name w:val="Bold and Italics"/>
    <w:qFormat/>
    <w:rsid w:val="00306457"/>
    <w:rPr>
      <w:b/>
      <w:i/>
      <w:u w:val="none"/>
    </w:rPr>
  </w:style>
  <w:style w:type="paragraph" w:styleId="BalloonText">
    <w:name w:val="Balloon Text"/>
    <w:basedOn w:val="Normal"/>
    <w:link w:val="BalloonTextChar"/>
    <w:rsid w:val="00306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457"/>
    <w:pPr>
      <w:spacing w:before="0" w:after="0"/>
    </w:pPr>
  </w:style>
  <w:style w:type="paragraph" w:customStyle="1" w:styleId="BodyTextBold">
    <w:name w:val="Body Text Bold"/>
    <w:basedOn w:val="BodyText"/>
    <w:qFormat/>
    <w:rsid w:val="00306457"/>
    <w:rPr>
      <w:b/>
    </w:rPr>
  </w:style>
  <w:style w:type="character" w:styleId="Hyperlink">
    <w:name w:val="Hyperlink"/>
    <w:basedOn w:val="DefaultParagraphFont"/>
    <w:uiPriority w:val="99"/>
    <w:unhideWhenUsed/>
    <w:rsid w:val="00291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7208</Characters>
  <Application>Microsoft Office Word</Application>
  <DocSecurity>0</DocSecurity>
  <Lines>225</Lines>
  <Paragraphs>168</Paragraphs>
  <ScaleCrop>false</ScaleCrop>
  <Company>Author-it Software Corporation Ltd.</Company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SITEEVT027 Organise event infrastructure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