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4411" w:rsidP="005044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SITEEVT021 Administer event registrations</w:t>
      </w:r>
      <w:r>
        <w:fldChar w:fldCharType="end"/>
      </w:r>
    </w:p>
    <w:p w:rsidR="00504411" w:rsidP="00504411">
      <w:pPr>
        <w:pStyle w:val="Version"/>
        <w:sectPr w:rsidSect="00C959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59C6" w:rsidP="00C959C6">
      <w:pPr>
        <w:pStyle w:val="SuperHeading"/>
      </w:pPr>
      <w:r w:rsidRPr="00C959C6">
        <w:t>Assessment Requirements for SITEEVT021 Administer event registrations</w:t>
      </w:r>
    </w:p>
    <w:p w:rsidR="00000000" w:rsidRPr="00C959C6" w:rsidP="00C959C6">
      <w:pPr>
        <w:pStyle w:val="Heading1"/>
      </w:pPr>
      <w:bookmarkStart w:id="1" w:name="O_1228068"/>
      <w:bookmarkEnd w:id="1"/>
      <w:r w:rsidRPr="00C959C6">
        <w:t>Modification History</w:t>
      </w:r>
    </w:p>
    <w:p w:rsidR="00000000" w:rsidRPr="00C959C6" w:rsidP="00504411">
      <w:pPr>
        <w:pStyle w:val="BodyText"/>
      </w:pPr>
      <w:r w:rsidRPr="00C959C6">
        <w:t>Not applicable.</w:t>
      </w:r>
    </w:p>
    <w:p w:rsidR="00000000" w:rsidRPr="00C959C6" w:rsidP="00C959C6">
      <w:pPr>
        <w:pStyle w:val="Heading1"/>
      </w:pPr>
      <w:bookmarkStart w:id="2" w:name="O_1228071"/>
      <w:bookmarkEnd w:id="2"/>
      <w:r w:rsidRPr="00C959C6">
        <w:t>Performance Evidence</w:t>
      </w:r>
    </w:p>
    <w:p w:rsidR="00000000" w:rsidRPr="00C959C6" w:rsidP="00504411">
      <w:pPr>
        <w:pStyle w:val="BodyText"/>
      </w:pPr>
      <w:r w:rsidRPr="00C959C6">
        <w:t>Evidence of the ability to complete tasks outlined in elements and performance criteria of this unit in the context of the job role, and:</w:t>
      </w:r>
    </w:p>
    <w:p w:rsidR="00000000" w:rsidRPr="00C959C6" w:rsidP="00C959C6">
      <w:pPr>
        <w:pStyle w:val="ListBullet"/>
      </w:pPr>
      <w:r w:rsidRPr="00C959C6">
        <w:t>process and administer registrations for six different attendees through to finalisation for at least two different t</w:t>
      </w:r>
      <w:r w:rsidRPr="00C959C6">
        <w:t>ypes of events</w:t>
      </w:r>
    </w:p>
    <w:p w:rsidR="00000000" w:rsidRPr="00C959C6" w:rsidP="00C959C6">
      <w:pPr>
        <w:pStyle w:val="ListBullet"/>
      </w:pPr>
      <w:r w:rsidRPr="00C959C6">
        <w:t>produce registration reports for each of the above events on:</w:t>
      </w:r>
    </w:p>
    <w:p w:rsidR="00000000" w:rsidRPr="00C959C6" w:rsidP="00C959C6">
      <w:pPr>
        <w:pStyle w:val="ListBullet2"/>
      </w:pPr>
      <w:r w:rsidRPr="00C959C6">
        <w:t>payment status</w:t>
      </w:r>
    </w:p>
    <w:p w:rsidR="00000000" w:rsidRPr="00C959C6" w:rsidP="00C959C6">
      <w:pPr>
        <w:pStyle w:val="ListBullet2"/>
      </w:pPr>
      <w:r w:rsidRPr="00C959C6">
        <w:t>special needs or requests</w:t>
      </w:r>
    </w:p>
    <w:p w:rsidR="00000000" w:rsidRPr="00C959C6" w:rsidP="00C959C6">
      <w:pPr>
        <w:pStyle w:val="ListBullet2"/>
      </w:pPr>
      <w:r w:rsidRPr="00C959C6">
        <w:t>demographics of attendees</w:t>
      </w:r>
    </w:p>
    <w:p w:rsidR="00000000" w:rsidRPr="00C959C6" w:rsidP="00C959C6">
      <w:pPr>
        <w:pStyle w:val="ListBullet2"/>
      </w:pPr>
      <w:r w:rsidRPr="00C959C6">
        <w:t>attendance</w:t>
      </w:r>
    </w:p>
    <w:p w:rsidR="00000000" w:rsidRPr="00C959C6" w:rsidP="00C959C6">
      <w:pPr>
        <w:pStyle w:val="ListBullet2"/>
      </w:pPr>
      <w:r w:rsidRPr="00C959C6">
        <w:t>tracking progress towards attendance forecasts</w:t>
      </w:r>
    </w:p>
    <w:p w:rsidR="00000000" w:rsidRPr="00C959C6" w:rsidP="00C959C6">
      <w:pPr>
        <w:pStyle w:val="ListBullet2"/>
      </w:pPr>
      <w:r w:rsidRPr="00C959C6">
        <w:t>sources of registrations</w:t>
      </w:r>
    </w:p>
    <w:p w:rsidR="00000000" w:rsidRPr="00C959C6" w:rsidP="00C959C6">
      <w:pPr>
        <w:pStyle w:val="ListBullet"/>
      </w:pPr>
      <w:r w:rsidRPr="00C959C6">
        <w:t>coordinate registrations at event commencement for at least two different events, one of which must be a face-to-face event, including undertaking each of the following:</w:t>
      </w:r>
    </w:p>
    <w:p w:rsidR="00000000" w:rsidRPr="00C959C6" w:rsidP="00C959C6">
      <w:pPr>
        <w:pStyle w:val="ListBullet2"/>
      </w:pPr>
      <w:r w:rsidRPr="00C959C6">
        <w:t>preparing registration materials and equipment</w:t>
      </w:r>
    </w:p>
    <w:p w:rsidR="00000000" w:rsidRPr="00C959C6" w:rsidP="00C959C6">
      <w:pPr>
        <w:pStyle w:val="ListBullet2"/>
      </w:pPr>
      <w:r w:rsidRPr="00C959C6">
        <w:t>setting up registration and access</w:t>
      </w:r>
    </w:p>
    <w:p w:rsidR="00000000" w:rsidRPr="00C959C6" w:rsidP="00C959C6">
      <w:pPr>
        <w:pStyle w:val="ListBullet2"/>
      </w:pPr>
      <w:r w:rsidRPr="00C959C6">
        <w:t>tes</w:t>
      </w:r>
      <w:r w:rsidRPr="00C959C6">
        <w:t>ting equipment functionality prior to event opening</w:t>
      </w:r>
    </w:p>
    <w:p w:rsidR="00000000" w:rsidRPr="00C959C6" w:rsidP="00C959C6">
      <w:pPr>
        <w:pStyle w:val="ListBullet2"/>
      </w:pPr>
      <w:r w:rsidRPr="00C959C6">
        <w:t>processing attendee registrations</w:t>
      </w:r>
    </w:p>
    <w:p w:rsidR="00000000" w:rsidRPr="00C959C6" w:rsidP="00C959C6">
      <w:pPr>
        <w:pStyle w:val="ListBullet2"/>
      </w:pPr>
      <w:r w:rsidRPr="00C959C6">
        <w:t>providing event information</w:t>
      </w:r>
    </w:p>
    <w:p w:rsidR="00000000" w:rsidRPr="00C959C6" w:rsidP="00C959C6">
      <w:pPr>
        <w:pStyle w:val="ListBullet2"/>
      </w:pPr>
      <w:r w:rsidRPr="00C959C6">
        <w:t>resolving registration discrepancies</w:t>
      </w:r>
    </w:p>
    <w:p w:rsidR="00000000" w:rsidRPr="00C959C6" w:rsidP="00C959C6">
      <w:pPr>
        <w:pStyle w:val="ListBullet"/>
      </w:pPr>
      <w:r w:rsidRPr="00C959C6">
        <w:t>complete the above activities within commercial time constraints and deadlines.</w:t>
      </w:r>
    </w:p>
    <w:p w:rsidR="00000000" w:rsidRPr="00C959C6" w:rsidP="00C959C6">
      <w:pPr>
        <w:pStyle w:val="AllowPageBreak"/>
      </w:pPr>
    </w:p>
    <w:p w:rsidR="00000000" w:rsidRPr="00C959C6" w:rsidP="00C959C6">
      <w:pPr>
        <w:pStyle w:val="Heading1"/>
      </w:pPr>
      <w:bookmarkStart w:id="3" w:name="O_1228070"/>
      <w:bookmarkEnd w:id="3"/>
      <w:r w:rsidRPr="00C959C6">
        <w:t>Knowl</w:t>
      </w:r>
      <w:r w:rsidRPr="00C959C6">
        <w:t>edge Evidence</w:t>
      </w:r>
    </w:p>
    <w:p w:rsidR="00000000" w:rsidRPr="00C959C6" w:rsidP="00504411">
      <w:pPr>
        <w:pStyle w:val="BodyText"/>
      </w:pPr>
      <w:r w:rsidRPr="00C959C6">
        <w:t>Demonstrated knowledge required to complete the tasks outlined in elements and performance criteria of this unit:</w:t>
      </w:r>
    </w:p>
    <w:p w:rsidR="00000000" w:rsidRPr="00C959C6" w:rsidP="00C959C6">
      <w:pPr>
        <w:pStyle w:val="ListBullet"/>
      </w:pPr>
      <w:r w:rsidRPr="00C959C6">
        <w:t>operation systems and software programs used to process and monitor event registrations</w:t>
      </w:r>
    </w:p>
    <w:p w:rsidR="00000000" w:rsidRPr="00C959C6" w:rsidP="00C959C6">
      <w:pPr>
        <w:pStyle w:val="ListBullet"/>
      </w:pPr>
      <w:r w:rsidRPr="00C959C6">
        <w:t>information required to administer regi</w:t>
      </w:r>
      <w:r w:rsidRPr="00C959C6">
        <w:t>strations</w:t>
      </w:r>
    </w:p>
    <w:p w:rsidR="00000000" w:rsidRPr="00C959C6" w:rsidP="00C959C6">
      <w:pPr>
        <w:pStyle w:val="ListBullet"/>
      </w:pPr>
      <w:r w:rsidRPr="00C959C6">
        <w:t>registration processes for different event types</w:t>
      </w:r>
    </w:p>
    <w:p w:rsidR="00000000" w:rsidRPr="00C959C6" w:rsidP="00C959C6">
      <w:pPr>
        <w:pStyle w:val="ListBullet"/>
      </w:pPr>
      <w:r w:rsidRPr="00C959C6">
        <w:t>event registration materials and resources required for:</w:t>
      </w:r>
    </w:p>
    <w:p w:rsidR="00000000" w:rsidRPr="00C959C6" w:rsidP="00C959C6">
      <w:pPr>
        <w:pStyle w:val="ListBullet2"/>
      </w:pPr>
      <w:r w:rsidRPr="00C959C6">
        <w:t>face-to-face events</w:t>
      </w:r>
    </w:p>
    <w:p w:rsidR="00000000" w:rsidRPr="00C959C6" w:rsidP="00C959C6">
      <w:pPr>
        <w:pStyle w:val="ListBullet2"/>
      </w:pPr>
      <w:r w:rsidRPr="00C959C6">
        <w:t>hybrid events</w:t>
      </w:r>
    </w:p>
    <w:p w:rsidR="00000000" w:rsidRPr="00C959C6" w:rsidP="00C959C6">
      <w:pPr>
        <w:pStyle w:val="ListBullet2"/>
      </w:pPr>
      <w:r w:rsidRPr="00C959C6">
        <w:t>virtual events</w:t>
      </w:r>
    </w:p>
    <w:p w:rsidR="00000000" w:rsidRPr="00C959C6" w:rsidP="00C959C6">
      <w:pPr>
        <w:pStyle w:val="ListBullet"/>
      </w:pPr>
      <w:r w:rsidRPr="00C959C6">
        <w:t>features of event programs, schedules, inclusions and specific costs</w:t>
      </w:r>
    </w:p>
    <w:p w:rsidR="00000000" w:rsidRPr="00C959C6" w:rsidP="00C959C6">
      <w:pPr>
        <w:pStyle w:val="ListBullet"/>
      </w:pPr>
      <w:r w:rsidRPr="00C959C6">
        <w:t>formats for, inclusions, and uses of:</w:t>
      </w:r>
    </w:p>
    <w:p w:rsidR="00000000" w:rsidRPr="00C959C6" w:rsidP="00C959C6">
      <w:pPr>
        <w:pStyle w:val="ListBullet2"/>
      </w:pPr>
      <w:r w:rsidRPr="00C959C6">
        <w:t>financial administration documents for payments</w:t>
      </w:r>
    </w:p>
    <w:p w:rsidR="00000000" w:rsidRPr="00C959C6" w:rsidP="00C959C6">
      <w:pPr>
        <w:pStyle w:val="ListBullet2"/>
      </w:pPr>
      <w:r w:rsidRPr="00C959C6">
        <w:t>event attendance documents</w:t>
      </w:r>
    </w:p>
    <w:p w:rsidR="00000000" w:rsidRPr="00C959C6" w:rsidP="00C959C6">
      <w:pPr>
        <w:pStyle w:val="ListBullet2"/>
      </w:pPr>
      <w:r w:rsidRPr="00C959C6">
        <w:t>event registration reports</w:t>
      </w:r>
    </w:p>
    <w:p w:rsidR="00000000" w:rsidRPr="00C959C6" w:rsidP="00C959C6">
      <w:pPr>
        <w:pStyle w:val="ListBullet"/>
      </w:pPr>
      <w:r w:rsidRPr="00C959C6">
        <w:t>procedures for processing payments:</w:t>
      </w:r>
    </w:p>
    <w:p w:rsidR="00000000" w:rsidRPr="00C959C6" w:rsidP="00C959C6">
      <w:pPr>
        <w:pStyle w:val="ListBullet2"/>
      </w:pPr>
      <w:r w:rsidRPr="00C959C6">
        <w:t>generating and issuing invoices and credit notes for changed registrations</w:t>
      </w:r>
    </w:p>
    <w:p w:rsidR="00000000" w:rsidRPr="00C959C6" w:rsidP="00C959C6">
      <w:pPr>
        <w:pStyle w:val="ListBullet2"/>
      </w:pPr>
      <w:r w:rsidRPr="00C959C6">
        <w:t>re</w:t>
      </w:r>
      <w:r w:rsidRPr="00C959C6">
        <w:t>ceiving and recording payments</w:t>
      </w:r>
    </w:p>
    <w:p w:rsidR="00000000" w:rsidRPr="00C959C6" w:rsidP="00C959C6">
      <w:pPr>
        <w:pStyle w:val="ListBullet"/>
      </w:pPr>
      <w:r w:rsidRPr="00C959C6">
        <w:t>considerations for on-site registration areas:</w:t>
      </w:r>
    </w:p>
    <w:p w:rsidR="00000000" w:rsidRPr="00C959C6" w:rsidP="00C959C6">
      <w:pPr>
        <w:pStyle w:val="ListBullet2"/>
      </w:pPr>
      <w:r w:rsidRPr="00C959C6">
        <w:t>adequate space for gathering or moving large numbers of people</w:t>
      </w:r>
    </w:p>
    <w:p w:rsidR="00000000" w:rsidRPr="00C959C6" w:rsidP="00C959C6">
      <w:pPr>
        <w:pStyle w:val="ListBullet2"/>
      </w:pPr>
      <w:r w:rsidRPr="00C959C6">
        <w:t>access and egress</w:t>
      </w:r>
    </w:p>
    <w:p w:rsidR="00000000" w:rsidRPr="00C959C6" w:rsidP="00C959C6">
      <w:pPr>
        <w:pStyle w:val="ListBullet2"/>
      </w:pPr>
      <w:r w:rsidRPr="00C959C6">
        <w:t>adequate sun and weather protection</w:t>
      </w:r>
    </w:p>
    <w:p w:rsidR="00000000" w:rsidRPr="00C959C6" w:rsidP="00C959C6">
      <w:pPr>
        <w:pStyle w:val="ListBullet2"/>
      </w:pPr>
      <w:r w:rsidRPr="00C959C6">
        <w:t>emergency exits</w:t>
      </w:r>
    </w:p>
    <w:p w:rsidR="00000000" w:rsidRPr="00C959C6" w:rsidP="00C959C6">
      <w:pPr>
        <w:pStyle w:val="ListBullet2"/>
      </w:pPr>
      <w:r w:rsidRPr="00C959C6">
        <w:t>profile of registration area for arriving attendees</w:t>
      </w:r>
    </w:p>
    <w:p w:rsidR="00000000" w:rsidRPr="00C959C6" w:rsidP="00C959C6">
      <w:pPr>
        <w:pStyle w:val="ListBullet2"/>
      </w:pPr>
      <w:r w:rsidRPr="00C959C6">
        <w:t>safe positioning</w:t>
      </w:r>
    </w:p>
    <w:p w:rsidR="00000000" w:rsidRPr="00C959C6" w:rsidP="00C959C6">
      <w:pPr>
        <w:pStyle w:val="ListBullet2"/>
      </w:pPr>
      <w:r w:rsidRPr="00C959C6">
        <w:t>safety of electrical cables</w:t>
      </w:r>
    </w:p>
    <w:p w:rsidR="00000000" w:rsidRPr="00C959C6" w:rsidP="00C959C6">
      <w:pPr>
        <w:pStyle w:val="ListBullet2"/>
      </w:pPr>
      <w:r w:rsidRPr="00C959C6">
        <w:t>agreements with venue or site for registration set-up</w:t>
      </w:r>
    </w:p>
    <w:p w:rsidR="00000000" w:rsidRPr="00C959C6" w:rsidP="00C959C6">
      <w:pPr>
        <w:pStyle w:val="ListBullet"/>
      </w:pPr>
      <w:r w:rsidRPr="00C959C6">
        <w:t>considerations for virtual events:</w:t>
      </w:r>
    </w:p>
    <w:p w:rsidR="00000000" w:rsidRPr="00C959C6" w:rsidP="00C959C6">
      <w:pPr>
        <w:pStyle w:val="ListBullet2"/>
      </w:pPr>
      <w:r w:rsidRPr="00C959C6">
        <w:t>internet access and bandwidth</w:t>
      </w:r>
    </w:p>
    <w:p w:rsidR="00000000" w:rsidRPr="00C959C6" w:rsidP="00C959C6">
      <w:pPr>
        <w:pStyle w:val="ListBullet2"/>
      </w:pPr>
      <w:r w:rsidRPr="00C959C6">
        <w:t>information sharing protocols</w:t>
      </w:r>
    </w:p>
    <w:p w:rsidR="00000000" w:rsidRPr="00C959C6" w:rsidP="00C959C6">
      <w:pPr>
        <w:pStyle w:val="ListBullet2"/>
      </w:pPr>
      <w:r w:rsidRPr="00C959C6">
        <w:t>technica</w:t>
      </w:r>
      <w:r w:rsidRPr="00C959C6">
        <w:t>l requirements for client and attendees</w:t>
      </w:r>
    </w:p>
    <w:p w:rsidR="00000000" w:rsidRPr="00C959C6" w:rsidP="00C959C6">
      <w:pPr>
        <w:pStyle w:val="ListBullet2"/>
      </w:pPr>
      <w:r w:rsidRPr="00C959C6">
        <w:t>capacity of event platforms.</w:t>
      </w:r>
    </w:p>
    <w:p w:rsidR="00000000" w:rsidRPr="00C959C6" w:rsidP="00C959C6">
      <w:pPr>
        <w:pStyle w:val="AllowPageBreak"/>
      </w:pPr>
    </w:p>
    <w:p w:rsidR="00000000" w:rsidRPr="00C959C6" w:rsidP="00C959C6">
      <w:pPr>
        <w:pStyle w:val="Heading1"/>
      </w:pPr>
      <w:bookmarkStart w:id="4" w:name="O_1228069"/>
      <w:bookmarkEnd w:id="4"/>
      <w:r w:rsidRPr="00C959C6">
        <w:t>Assessment Conditions</w:t>
      </w:r>
    </w:p>
    <w:p w:rsidR="00000000" w:rsidRPr="00C959C6" w:rsidP="00504411">
      <w:pPr>
        <w:pStyle w:val="BodyText"/>
      </w:pPr>
      <w:r w:rsidRPr="00C959C6">
        <w:t xml:space="preserve">Skills must be demonstrated in: </w:t>
      </w:r>
    </w:p>
    <w:p w:rsidR="00000000" w:rsidRPr="00C959C6" w:rsidP="00C959C6">
      <w:pPr>
        <w:pStyle w:val="ListBullet"/>
      </w:pPr>
      <w:r w:rsidRPr="00C959C6">
        <w:t>an industry workplace; or</w:t>
      </w:r>
    </w:p>
    <w:p w:rsidR="00000000" w:rsidRPr="00C959C6" w:rsidP="00C959C6">
      <w:pPr>
        <w:pStyle w:val="ListBullet"/>
      </w:pPr>
      <w:r w:rsidRPr="00C959C6">
        <w:t>a simulated event set up for the purposes of assessment.</w:t>
      </w:r>
    </w:p>
    <w:p w:rsidR="00000000" w:rsidRPr="00C959C6" w:rsidP="00504411">
      <w:pPr>
        <w:pStyle w:val="BodyText"/>
      </w:pPr>
      <w:r w:rsidRPr="00C959C6">
        <w:t>Assessment must ensure access to:</w:t>
      </w:r>
    </w:p>
    <w:p w:rsidR="00000000" w:rsidRPr="00C959C6" w:rsidP="00C959C6">
      <w:pPr>
        <w:pStyle w:val="ListBullet"/>
      </w:pPr>
      <w:r w:rsidRPr="00C959C6">
        <w:t>event registration documentation</w:t>
      </w:r>
    </w:p>
    <w:p w:rsidR="00000000" w:rsidRPr="00C959C6" w:rsidP="00C959C6">
      <w:pPr>
        <w:pStyle w:val="ListBullet"/>
      </w:pPr>
      <w:r w:rsidRPr="00C959C6">
        <w:t>registration equipment and materials</w:t>
      </w:r>
    </w:p>
    <w:p w:rsidR="00000000" w:rsidRPr="00C959C6" w:rsidP="00C959C6">
      <w:pPr>
        <w:pStyle w:val="ListBullet"/>
      </w:pPr>
      <w:r w:rsidRPr="00C959C6">
        <w:t>venues or sites where events are operated with a designated on-site registration area</w:t>
      </w:r>
    </w:p>
    <w:p w:rsidR="00000000" w:rsidRPr="00C959C6" w:rsidP="00C959C6">
      <w:pPr>
        <w:pStyle w:val="ListBullet"/>
      </w:pPr>
      <w:r w:rsidRPr="00C959C6">
        <w:t>operational and capacity information for event venues and sites</w:t>
      </w:r>
    </w:p>
    <w:p w:rsidR="00000000" w:rsidRPr="00C959C6" w:rsidP="00C959C6">
      <w:pPr>
        <w:pStyle w:val="ListBullet"/>
      </w:pPr>
      <w:r w:rsidRPr="00C959C6">
        <w:t>o</w:t>
      </w:r>
      <w:r w:rsidRPr="00C959C6">
        <w:t>rganisational procedures for processing event registrations</w:t>
      </w:r>
    </w:p>
    <w:p w:rsidR="00000000" w:rsidRPr="00C959C6" w:rsidP="00C959C6">
      <w:pPr>
        <w:pStyle w:val="ListBullet"/>
      </w:pPr>
      <w:r w:rsidRPr="00C959C6">
        <w:t>industry current templates for:</w:t>
      </w:r>
    </w:p>
    <w:p w:rsidR="00000000" w:rsidRPr="00C959C6" w:rsidP="00C959C6">
      <w:pPr>
        <w:pStyle w:val="ListBullet2"/>
      </w:pPr>
      <w:r w:rsidRPr="00C959C6">
        <w:t>attendee lists</w:t>
      </w:r>
    </w:p>
    <w:p w:rsidR="00000000" w:rsidRPr="00C959C6" w:rsidP="00C959C6">
      <w:pPr>
        <w:pStyle w:val="ListBullet2"/>
      </w:pPr>
      <w:r w:rsidRPr="00C959C6">
        <w:t>financial administration of payments</w:t>
      </w:r>
    </w:p>
    <w:p w:rsidR="00000000" w:rsidRPr="00C959C6" w:rsidP="00C959C6">
      <w:pPr>
        <w:pStyle w:val="ListBullet2"/>
      </w:pPr>
      <w:r w:rsidRPr="00C959C6">
        <w:t>registration reports</w:t>
      </w:r>
    </w:p>
    <w:p w:rsidR="00000000" w:rsidRPr="00C959C6" w:rsidP="00C959C6">
      <w:pPr>
        <w:pStyle w:val="ListBullet"/>
      </w:pPr>
      <w:r w:rsidRPr="00C959C6">
        <w:t>industry current technology and software for processing event registrations</w:t>
      </w:r>
    </w:p>
    <w:p w:rsidR="00000000" w:rsidRPr="00C959C6" w:rsidP="00C959C6">
      <w:pPr>
        <w:pStyle w:val="ListBullet"/>
      </w:pPr>
      <w:r w:rsidRPr="00C959C6">
        <w:t>event registr</w:t>
      </w:r>
      <w:r w:rsidRPr="00C959C6">
        <w:t>ants and venue and site personnel with whom the individual can interact. These can be:</w:t>
      </w:r>
    </w:p>
    <w:p w:rsidR="00000000" w:rsidRPr="00C959C6" w:rsidP="00C959C6">
      <w:pPr>
        <w:pStyle w:val="ListBullet2"/>
      </w:pPr>
      <w:r w:rsidRPr="00C959C6">
        <w:t>registrants in an industry workplace who are assisted by the individual during the assessment process; or</w:t>
      </w:r>
    </w:p>
    <w:p w:rsidR="00000000" w:rsidRPr="00C959C6" w:rsidP="00C959C6">
      <w:pPr>
        <w:pStyle w:val="ListBullet2"/>
      </w:pPr>
      <w:r w:rsidRPr="00C959C6">
        <w:t>individuals who participate in role plays or simulated activities, set up for the purpose of assessment, in a simulated industry environment operated within a training organisation.</w:t>
      </w:r>
    </w:p>
    <w:p w:rsidR="00000000" w:rsidRPr="00C959C6" w:rsidP="00504411">
      <w:pPr>
        <w:pStyle w:val="BodyText"/>
      </w:pPr>
      <w:r w:rsidRPr="00C959C6">
        <w:t>Assessors must satisfy the Standards for Registered Training Organisations</w:t>
      </w:r>
      <w:r w:rsidRPr="00C959C6">
        <w:t>’ requirements for assessors and have worked in industry for at least three years where they have applied the skills and knowledge of this unit of competency.</w:t>
      </w:r>
    </w:p>
    <w:p w:rsidR="00000000" w:rsidRPr="00C959C6" w:rsidP="00C959C6">
      <w:pPr>
        <w:pStyle w:val="Heading1"/>
      </w:pPr>
      <w:bookmarkStart w:id="5" w:name="O_1228067"/>
      <w:bookmarkEnd w:id="5"/>
      <w:r w:rsidRPr="00C959C6">
        <w:t>Links</w:t>
      </w:r>
    </w:p>
    <w:p w:rsidR="00000000" w:rsidRPr="00C959C6" w:rsidP="00504411">
      <w:pPr>
        <w:pStyle w:val="BodyText"/>
      </w:pPr>
      <w:r w:rsidRPr="00C959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00CE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959C6" w:rsidP="00C959C6"/>
    <w:sectPr w:rsidSect="00C959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9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9C6" w:rsidRPr="00504411" w:rsidP="005044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9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411" w:rsidP="00C959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4411" w:rsidP="00C959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04411" w:rsidP="00C959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9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4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59C6" w:rsidRPr="00504411" w:rsidP="005044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9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411" w:rsidRPr="002D2AF8" w:rsidP="00C959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SITEEVT021 Administer event registrations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504411" w:rsidP="00C959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52BA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9689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8C93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9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59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9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9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9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9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9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9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9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9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9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9C6"/>
  </w:style>
  <w:style w:type="character" w:customStyle="1" w:styleId="Heading1Char">
    <w:name w:val="Heading 1 Char"/>
    <w:basedOn w:val="DefaultParagraphFont"/>
    <w:link w:val="Heading1"/>
    <w:rsid w:val="00C959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9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59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59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59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59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59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59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59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59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5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5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5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59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59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9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9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9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9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59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59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59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59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9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59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59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59C6"/>
    <w:rPr>
      <w:b/>
      <w:spacing w:val="0"/>
    </w:rPr>
  </w:style>
  <w:style w:type="paragraph" w:customStyle="1" w:styleId="SuperTitle">
    <w:name w:val="SuperTitle"/>
    <w:basedOn w:val="Title"/>
    <w:rsid w:val="00C959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9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9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59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9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59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59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59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9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9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9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9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59C6"/>
    <w:rPr>
      <w:i/>
    </w:rPr>
  </w:style>
  <w:style w:type="paragraph" w:styleId="Caption">
    <w:name w:val="caption"/>
    <w:basedOn w:val="BodyText"/>
    <w:next w:val="Normal"/>
    <w:qFormat/>
    <w:rsid w:val="00C959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9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9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9C6"/>
  </w:style>
  <w:style w:type="paragraph" w:styleId="TableofFigures">
    <w:name w:val="table of figures"/>
    <w:basedOn w:val="Normal"/>
    <w:next w:val="Normal"/>
    <w:semiHidden/>
    <w:rsid w:val="00C959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9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59C6"/>
    <w:rPr>
      <w:rFonts w:ascii="Wingdings" w:hAnsi="Wingdings"/>
    </w:rPr>
  </w:style>
  <w:style w:type="paragraph" w:customStyle="1" w:styleId="TableHeading">
    <w:name w:val="Table Heading"/>
    <w:basedOn w:val="HeadingBase"/>
    <w:rsid w:val="00C959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59C6"/>
    <w:rPr>
      <w:color w:val="0033CC"/>
      <w:u w:val="none"/>
    </w:rPr>
  </w:style>
  <w:style w:type="paragraph" w:customStyle="1" w:styleId="BodyTextRight">
    <w:name w:val="Body Text Right"/>
    <w:basedOn w:val="BodyText"/>
    <w:rsid w:val="00C959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9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9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9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9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59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59C6"/>
    <w:rPr>
      <w:sz w:val="32"/>
    </w:rPr>
  </w:style>
  <w:style w:type="paragraph" w:customStyle="1" w:styleId="HeadingProcedure">
    <w:name w:val="Heading Procedure"/>
    <w:basedOn w:val="HeadingBase"/>
    <w:next w:val="Normal"/>
    <w:rsid w:val="00C959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9C6"/>
    <w:pPr>
      <w:spacing w:before="60" w:after="60"/>
    </w:pPr>
  </w:style>
  <w:style w:type="paragraph" w:styleId="ListContinue">
    <w:name w:val="List Continue"/>
    <w:basedOn w:val="List"/>
    <w:rsid w:val="00C959C6"/>
    <w:pPr>
      <w:ind w:firstLine="0"/>
    </w:pPr>
  </w:style>
  <w:style w:type="paragraph" w:customStyle="1" w:styleId="ListNote">
    <w:name w:val="List Note"/>
    <w:basedOn w:val="List"/>
    <w:rsid w:val="00C959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9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9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59C6"/>
    <w:rPr>
      <w:rFonts w:ascii="Courier New" w:hAnsi="Courier New"/>
    </w:rPr>
  </w:style>
  <w:style w:type="paragraph" w:customStyle="1" w:styleId="NoteBullet">
    <w:name w:val="Note Bullet"/>
    <w:basedOn w:val="Note"/>
    <w:rsid w:val="00C959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9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9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9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9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59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9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59C6"/>
    <w:rPr>
      <w:b/>
      <w:smallCaps/>
    </w:rPr>
  </w:style>
  <w:style w:type="paragraph" w:customStyle="1" w:styleId="TableListNumber">
    <w:name w:val="Table List Number"/>
    <w:basedOn w:val="ListNumber"/>
    <w:rsid w:val="00C959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9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9C6"/>
    <w:pPr>
      <w:numPr>
        <w:numId w:val="9"/>
      </w:numPr>
    </w:pPr>
  </w:style>
  <w:style w:type="paragraph" w:customStyle="1" w:styleId="ListAlpha2">
    <w:name w:val="List Alpha 2"/>
    <w:basedOn w:val="List2"/>
    <w:rsid w:val="00C959C6"/>
    <w:pPr>
      <w:numPr>
        <w:numId w:val="8"/>
      </w:numPr>
    </w:pPr>
  </w:style>
  <w:style w:type="paragraph" w:styleId="List2">
    <w:name w:val="List 2"/>
    <w:basedOn w:val="BodyText"/>
    <w:rsid w:val="00C959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59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9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9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59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59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59C6"/>
    <w:pPr>
      <w:numPr>
        <w:numId w:val="4"/>
      </w:numPr>
    </w:pPr>
  </w:style>
  <w:style w:type="paragraph" w:styleId="ListContinue2">
    <w:name w:val="List Continue 2"/>
    <w:basedOn w:val="List2"/>
    <w:rsid w:val="00C959C6"/>
    <w:pPr>
      <w:ind w:firstLine="0"/>
    </w:pPr>
  </w:style>
  <w:style w:type="paragraph" w:styleId="ListContinue3">
    <w:name w:val="List Continue 3"/>
    <w:basedOn w:val="List3"/>
    <w:rsid w:val="00C959C6"/>
    <w:pPr>
      <w:ind w:left="1021" w:firstLine="0"/>
    </w:pPr>
  </w:style>
  <w:style w:type="paragraph" w:styleId="ListContinue4">
    <w:name w:val="List Continue 4"/>
    <w:basedOn w:val="List4"/>
    <w:rsid w:val="00C959C6"/>
    <w:pPr>
      <w:ind w:firstLine="0"/>
    </w:pPr>
  </w:style>
  <w:style w:type="paragraph" w:styleId="ListContinue5">
    <w:name w:val="List Continue 5"/>
    <w:basedOn w:val="List5"/>
    <w:rsid w:val="00C959C6"/>
    <w:pPr>
      <w:ind w:firstLine="0"/>
    </w:pPr>
  </w:style>
  <w:style w:type="paragraph" w:styleId="ListNumber3">
    <w:name w:val="List Number 3"/>
    <w:basedOn w:val="List3"/>
    <w:rsid w:val="00C959C6"/>
    <w:pPr>
      <w:numPr>
        <w:numId w:val="5"/>
      </w:numPr>
    </w:pPr>
  </w:style>
  <w:style w:type="paragraph" w:styleId="ListNumber4">
    <w:name w:val="List Number 4"/>
    <w:basedOn w:val="List4"/>
    <w:rsid w:val="00C959C6"/>
    <w:pPr>
      <w:numPr>
        <w:numId w:val="6"/>
      </w:numPr>
    </w:pPr>
  </w:style>
  <w:style w:type="paragraph" w:styleId="ListNumber5">
    <w:name w:val="List Number 5"/>
    <w:basedOn w:val="List5"/>
    <w:rsid w:val="00C959C6"/>
    <w:pPr>
      <w:numPr>
        <w:numId w:val="7"/>
      </w:numPr>
    </w:pPr>
  </w:style>
  <w:style w:type="paragraph" w:styleId="BlockText">
    <w:name w:val="Block Text"/>
    <w:basedOn w:val="Normal"/>
    <w:rsid w:val="00C959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59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59C6"/>
    <w:rPr>
      <w:sz w:val="16"/>
      <w:vertAlign w:val="superscript"/>
    </w:rPr>
  </w:style>
  <w:style w:type="character" w:customStyle="1" w:styleId="Symbols">
    <w:name w:val="Symbols"/>
    <w:basedOn w:val="DefaultParagraphFont"/>
    <w:rsid w:val="00C959C6"/>
    <w:rPr>
      <w:rFonts w:ascii="Symbol" w:hAnsi="Symbol"/>
    </w:rPr>
  </w:style>
  <w:style w:type="character" w:customStyle="1" w:styleId="MenuOptions">
    <w:name w:val="Menu Options"/>
    <w:basedOn w:val="DefaultParagraphFont"/>
    <w:rsid w:val="00C959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59C6"/>
    <w:rPr>
      <w:b/>
    </w:rPr>
  </w:style>
  <w:style w:type="character" w:customStyle="1" w:styleId="Underlined">
    <w:name w:val="Underlined"/>
    <w:basedOn w:val="DefaultParagraphFont"/>
    <w:rsid w:val="00C959C6"/>
    <w:rPr>
      <w:u w:val="single"/>
    </w:rPr>
  </w:style>
  <w:style w:type="paragraph" w:customStyle="1" w:styleId="TableBodyTextRight">
    <w:name w:val="Table Body Text Right"/>
    <w:basedOn w:val="TableBodyText"/>
    <w:rsid w:val="00C959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9C6"/>
    <w:rPr>
      <w:sz w:val="18"/>
    </w:rPr>
  </w:style>
  <w:style w:type="paragraph" w:customStyle="1" w:styleId="BodySmallRight">
    <w:name w:val="Body Small Right"/>
    <w:basedOn w:val="BodyTextRight"/>
    <w:rsid w:val="00C959C6"/>
    <w:rPr>
      <w:sz w:val="18"/>
      <w:szCs w:val="18"/>
    </w:rPr>
  </w:style>
  <w:style w:type="paragraph" w:customStyle="1" w:styleId="MarginEdition">
    <w:name w:val="Margin Edition"/>
    <w:basedOn w:val="MarginNote"/>
    <w:rsid w:val="00C959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9C6"/>
    <w:rPr>
      <w:sz w:val="2"/>
      <w:szCs w:val="2"/>
    </w:rPr>
  </w:style>
  <w:style w:type="character" w:customStyle="1" w:styleId="Small">
    <w:name w:val="Small"/>
    <w:basedOn w:val="DefaultParagraphFont"/>
    <w:rsid w:val="00C959C6"/>
    <w:rPr>
      <w:sz w:val="16"/>
    </w:rPr>
  </w:style>
  <w:style w:type="paragraph" w:customStyle="1" w:styleId="WideTable">
    <w:name w:val="Wide Table"/>
    <w:basedOn w:val="Normal"/>
    <w:rsid w:val="00C959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59C6"/>
  </w:style>
  <w:style w:type="paragraph" w:styleId="Quote">
    <w:name w:val="Quote"/>
    <w:basedOn w:val="Heading1"/>
    <w:link w:val="QuoteChar"/>
    <w:qFormat/>
    <w:rsid w:val="00C959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59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9C6"/>
    <w:pPr>
      <w:pageBreakBefore/>
    </w:pPr>
  </w:style>
  <w:style w:type="paragraph" w:customStyle="1" w:styleId="Border">
    <w:name w:val="Border"/>
    <w:basedOn w:val="Normal"/>
    <w:qFormat/>
    <w:rsid w:val="00C959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59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9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9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59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59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9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9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9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59C6"/>
    <w:rPr>
      <w:u w:val="single"/>
    </w:rPr>
  </w:style>
  <w:style w:type="character" w:customStyle="1" w:styleId="BoldandItalics">
    <w:name w:val="Bold and Italics"/>
    <w:qFormat/>
    <w:rsid w:val="00C959C6"/>
    <w:rPr>
      <w:b/>
      <w:i/>
      <w:u w:val="none"/>
    </w:rPr>
  </w:style>
  <w:style w:type="paragraph" w:styleId="BalloonText">
    <w:name w:val="Balloon Text"/>
    <w:basedOn w:val="Normal"/>
    <w:link w:val="BalloonTextChar"/>
    <w:rsid w:val="00C959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59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59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59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59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59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59C6"/>
    <w:pPr>
      <w:spacing w:before="0" w:after="0"/>
    </w:pPr>
  </w:style>
  <w:style w:type="paragraph" w:customStyle="1" w:styleId="BodyTextBold">
    <w:name w:val="Body Text Bold"/>
    <w:basedOn w:val="BodyText"/>
    <w:qFormat/>
    <w:rsid w:val="00C959C6"/>
    <w:rPr>
      <w:b/>
    </w:rPr>
  </w:style>
  <w:style w:type="character" w:styleId="Hyperlink">
    <w:name w:val="Hyperlink"/>
    <w:basedOn w:val="DefaultParagraphFont"/>
    <w:uiPriority w:val="99"/>
    <w:unhideWhenUsed/>
    <w:rsid w:val="005044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3519</Characters>
  <Application>Microsoft Office Word</Application>
  <DocSecurity>0</DocSecurity>
  <Lines>97</Lines>
  <Paragraphs>87</Paragraphs>
  <ScaleCrop>false</ScaleCrop>
  <Company>Author-it Software Corporation Ltd.</Company>
  <LinksUpToDate>false</LinksUpToDate>
  <CharactersWithSpaces>3951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SITEEVT021 Administer event registrations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2023-03-02T05:32:00Z</dcterms:created>
  <dcterms:modified xsi:type="dcterms:W3CDTF">2023-03-02T05:32:00Z</dcterms:modified>
</cp:coreProperties>
</file>