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024" w:rsidP="006D5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SITEEVT019 Recruit and manage exhibitors</w:t>
      </w:r>
      <w:r>
        <w:fldChar w:fldCharType="end"/>
      </w:r>
    </w:p>
    <w:p w:rsidR="006D5024" w:rsidP="006D5024">
      <w:pPr>
        <w:pStyle w:val="Version"/>
        <w:sectPr w:rsidSect="001A5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E49" w:rsidP="001A5E49">
      <w:pPr>
        <w:pStyle w:val="SuperHeading"/>
      </w:pPr>
      <w:r w:rsidRPr="001A5E49">
        <w:t>Assessment Requirements for SITEEVT019 Recruit and manage exhibitors</w:t>
      </w:r>
    </w:p>
    <w:p w:rsidR="00000000" w:rsidRPr="001A5E49" w:rsidP="001A5E49">
      <w:pPr>
        <w:pStyle w:val="Heading1"/>
      </w:pPr>
      <w:bookmarkStart w:id="1" w:name="O_767338"/>
      <w:bookmarkEnd w:id="1"/>
      <w:r w:rsidRPr="001A5E49">
        <w:t>Modification History</w:t>
      </w:r>
    </w:p>
    <w:p w:rsidR="00000000" w:rsidRPr="001A5E49" w:rsidP="006D5024">
      <w:pPr>
        <w:pStyle w:val="BodyText"/>
      </w:pPr>
      <w:r w:rsidRPr="001A5E49">
        <w:t>Not applicable.</w:t>
      </w:r>
    </w:p>
    <w:p w:rsidR="00000000" w:rsidRPr="001A5E49" w:rsidP="001A5E49">
      <w:pPr>
        <w:pStyle w:val="Heading1"/>
      </w:pPr>
      <w:bookmarkStart w:id="2" w:name="O_767339"/>
      <w:bookmarkEnd w:id="2"/>
      <w:r w:rsidRPr="001A5E49">
        <w:t>Performance Evidence</w:t>
      </w:r>
    </w:p>
    <w:p w:rsidR="00000000" w:rsidRPr="001A5E49" w:rsidP="006D5024">
      <w:pPr>
        <w:pStyle w:val="BodyText"/>
      </w:pPr>
      <w:r w:rsidRPr="001A5E49">
        <w:t>Evidence of the ability to complete tasks outlined in elements and performance criteria of this unit in the context of the job role, and:</w:t>
      </w:r>
    </w:p>
    <w:p w:rsidR="00000000" w:rsidRPr="001A5E49" w:rsidP="001A5E49">
      <w:pPr>
        <w:pStyle w:val="ListBullet"/>
      </w:pPr>
      <w:r w:rsidRPr="001A5E49">
        <w:t>consult with stakeholders and develop the exhibition format and work schedule for one exhibition with multiple operat</w:t>
      </w:r>
      <w:r w:rsidRPr="001A5E49">
        <w:t>ional components which covers:</w:t>
      </w:r>
    </w:p>
    <w:p w:rsidR="00000000" w:rsidRPr="001A5E49" w:rsidP="001A5E49">
      <w:pPr>
        <w:pStyle w:val="ListBullet2"/>
      </w:pPr>
      <w:r w:rsidRPr="001A5E49">
        <w:t>key exhibition activities</w:t>
      </w:r>
    </w:p>
    <w:p w:rsidR="00000000" w:rsidRPr="001A5E49" w:rsidP="001A5E49">
      <w:pPr>
        <w:pStyle w:val="ListBullet2"/>
      </w:pPr>
      <w:r w:rsidRPr="001A5E49">
        <w:t>interrelationships between exhibitors, organisers and stakeholders</w:t>
      </w:r>
    </w:p>
    <w:p w:rsidR="00000000" w:rsidRPr="001A5E49" w:rsidP="001A5E49">
      <w:pPr>
        <w:pStyle w:val="ListBullet2"/>
      </w:pPr>
      <w:r w:rsidRPr="001A5E49">
        <w:t>exhibition timelines</w:t>
      </w:r>
    </w:p>
    <w:p w:rsidR="00000000" w:rsidRPr="001A5E49" w:rsidP="001A5E49">
      <w:pPr>
        <w:pStyle w:val="ListBullet"/>
      </w:pPr>
      <w:r w:rsidRPr="001A5E49">
        <w:t>analyse operational constraints, review exhibition objectives, and consult with exhibition stakeholders to de</w:t>
      </w:r>
      <w:r w:rsidRPr="001A5E49">
        <w:t>termine an appropriate buyer and seller format for the above exhibition</w:t>
      </w:r>
    </w:p>
    <w:p w:rsidR="00000000" w:rsidRPr="001A5E49" w:rsidP="001A5E49">
      <w:pPr>
        <w:pStyle w:val="ListBullet"/>
      </w:pPr>
      <w:r w:rsidRPr="001A5E49">
        <w:t>develop and distribute exhibitor prospectus that includes information on:</w:t>
      </w:r>
    </w:p>
    <w:p w:rsidR="00000000" w:rsidRPr="001A5E49" w:rsidP="001A5E49">
      <w:pPr>
        <w:pStyle w:val="ListBullet2"/>
      </w:pPr>
      <w:r w:rsidRPr="001A5E49">
        <w:t>attendance expectations and profile</w:t>
      </w:r>
    </w:p>
    <w:p w:rsidR="00000000" w:rsidRPr="001A5E49" w:rsidP="001A5E49">
      <w:pPr>
        <w:pStyle w:val="ListBullet2"/>
      </w:pPr>
      <w:r w:rsidRPr="001A5E49">
        <w:t>bump in/bump out details</w:t>
      </w:r>
    </w:p>
    <w:p w:rsidR="00000000" w:rsidRPr="001A5E49" w:rsidP="001A5E49">
      <w:pPr>
        <w:pStyle w:val="ListBullet2"/>
      </w:pPr>
      <w:r w:rsidRPr="001A5E49">
        <w:t>contact details</w:t>
      </w:r>
    </w:p>
    <w:p w:rsidR="00000000" w:rsidRPr="001A5E49" w:rsidP="001A5E49">
      <w:pPr>
        <w:pStyle w:val="ListBullet2"/>
      </w:pPr>
      <w:r w:rsidRPr="001A5E49">
        <w:t>exhibition</w:t>
      </w:r>
    </w:p>
    <w:p w:rsidR="00000000" w:rsidRPr="001A5E49" w:rsidP="001A5E49">
      <w:pPr>
        <w:pStyle w:val="ListBullet2"/>
      </w:pPr>
      <w:r w:rsidRPr="001A5E49">
        <w:t>features and benefits of participation</w:t>
      </w:r>
    </w:p>
    <w:p w:rsidR="00000000" w:rsidRPr="001A5E49" w:rsidP="001A5E49">
      <w:pPr>
        <w:pStyle w:val="ListBullet2"/>
      </w:pPr>
      <w:r w:rsidRPr="001A5E49">
        <w:t>insurance requirements</w:t>
      </w:r>
    </w:p>
    <w:p w:rsidR="00000000" w:rsidRPr="001A5E49" w:rsidP="001A5E49">
      <w:pPr>
        <w:pStyle w:val="ListBullet2"/>
      </w:pPr>
      <w:r w:rsidRPr="001A5E49">
        <w:t>marking initiatives and exhibition promotion</w:t>
      </w:r>
    </w:p>
    <w:p w:rsidR="00000000" w:rsidRPr="001A5E49" w:rsidP="001A5E49">
      <w:pPr>
        <w:pStyle w:val="ListBullet2"/>
      </w:pPr>
      <w:r w:rsidRPr="001A5E49">
        <w:t>participation costs and levels</w:t>
      </w:r>
    </w:p>
    <w:p w:rsidR="00000000" w:rsidRPr="001A5E49" w:rsidP="001A5E49">
      <w:pPr>
        <w:pStyle w:val="ListBullet2"/>
      </w:pPr>
      <w:r w:rsidRPr="001A5E49">
        <w:t>previous exhibition performance data</w:t>
      </w:r>
    </w:p>
    <w:p w:rsidR="00000000" w:rsidRPr="001A5E49" w:rsidP="001A5E49">
      <w:pPr>
        <w:pStyle w:val="ListBullet2"/>
      </w:pPr>
      <w:r w:rsidRPr="001A5E49">
        <w:t>sponsorship details</w:t>
      </w:r>
    </w:p>
    <w:p w:rsidR="00000000" w:rsidRPr="001A5E49" w:rsidP="001A5E49">
      <w:pPr>
        <w:pStyle w:val="ListBullet2"/>
      </w:pPr>
      <w:r w:rsidRPr="001A5E49">
        <w:t>venue layout, floor plans and general information</w:t>
      </w:r>
    </w:p>
    <w:p w:rsidR="00000000" w:rsidRPr="001A5E49" w:rsidP="001A5E49">
      <w:pPr>
        <w:pStyle w:val="ListBullet"/>
      </w:pPr>
      <w:r w:rsidRPr="001A5E49">
        <w:t xml:space="preserve">follow up </w:t>
      </w:r>
      <w:r w:rsidRPr="001A5E49">
        <w:t>with prospective exhibitors and prospectus recipients to maximise take-up of space and exhibition profitability</w:t>
      </w:r>
    </w:p>
    <w:p w:rsidR="00000000" w:rsidRPr="001A5E49" w:rsidP="001A5E49">
      <w:pPr>
        <w:pStyle w:val="ListBullet"/>
      </w:pPr>
      <w:r w:rsidRPr="001A5E49">
        <w:t>develop evaluation criteria and evaluate exhibition effectiveness by measuring:</w:t>
      </w:r>
    </w:p>
    <w:p w:rsidR="00000000" w:rsidRPr="001A5E49" w:rsidP="001A5E49">
      <w:pPr>
        <w:pStyle w:val="ListBullet2"/>
      </w:pPr>
      <w:r w:rsidRPr="001A5E49">
        <w:t>exhibitor, buyer and sponsor feedback</w:t>
      </w:r>
    </w:p>
    <w:p w:rsidR="00000000" w:rsidRPr="001A5E49" w:rsidP="001A5E49">
      <w:pPr>
        <w:pStyle w:val="ListBullet2"/>
      </w:pPr>
      <w:r w:rsidRPr="001A5E49">
        <w:t>number of attending buyer</w:t>
      </w:r>
      <w:r w:rsidRPr="001A5E49">
        <w:t>s</w:t>
      </w:r>
    </w:p>
    <w:p w:rsidR="00000000" w:rsidRPr="001A5E49" w:rsidP="001A5E49">
      <w:pPr>
        <w:pStyle w:val="ListBullet2"/>
      </w:pPr>
      <w:r w:rsidRPr="001A5E49">
        <w:t>operational efficiency</w:t>
      </w:r>
    </w:p>
    <w:p w:rsidR="00000000" w:rsidRPr="001A5E49" w:rsidP="001A5E49">
      <w:pPr>
        <w:pStyle w:val="ListBullet2"/>
      </w:pPr>
      <w:r w:rsidRPr="001A5E49">
        <w:t xml:space="preserve">profitability </w:t>
      </w:r>
    </w:p>
    <w:p w:rsidR="00000000" w:rsidRPr="001A5E49" w:rsidP="001A5E49">
      <w:pPr>
        <w:pStyle w:val="ListBullet2"/>
      </w:pPr>
      <w:r w:rsidRPr="001A5E49">
        <w:t>venue service levels.</w:t>
      </w:r>
    </w:p>
    <w:p w:rsidR="00000000" w:rsidRPr="001A5E49" w:rsidP="001A5E49">
      <w:pPr>
        <w:pStyle w:val="AllowPageBreak"/>
      </w:pPr>
    </w:p>
    <w:p w:rsidR="00000000" w:rsidRPr="001A5E49" w:rsidP="001A5E49">
      <w:pPr>
        <w:pStyle w:val="Heading1"/>
      </w:pPr>
      <w:bookmarkStart w:id="3" w:name="O_767340"/>
      <w:bookmarkEnd w:id="3"/>
      <w:r w:rsidRPr="001A5E49">
        <w:t>Knowledge Evidence</w:t>
      </w:r>
    </w:p>
    <w:p w:rsidR="00000000" w:rsidRPr="001A5E49" w:rsidP="006D5024">
      <w:pPr>
        <w:pStyle w:val="BodyText"/>
      </w:pPr>
      <w:r w:rsidRPr="001A5E49">
        <w:t>Demonstrated knowledge required to complete the tasks outlined in elements and performance criteria of this unit:</w:t>
      </w:r>
    </w:p>
    <w:p w:rsidR="00000000" w:rsidRPr="001A5E49" w:rsidP="001A5E49">
      <w:pPr>
        <w:pStyle w:val="ListBullet"/>
      </w:pPr>
      <w:r w:rsidRPr="001A5E49">
        <w:t>characteristics of different types of exhibitions, their purposes and objectives:</w:t>
      </w:r>
    </w:p>
    <w:p w:rsidR="00000000" w:rsidRPr="001A5E49" w:rsidP="001A5E49">
      <w:pPr>
        <w:pStyle w:val="ListBullet2"/>
      </w:pPr>
      <w:r w:rsidRPr="001A5E49">
        <w:t>trade or industry</w:t>
      </w:r>
    </w:p>
    <w:p w:rsidR="00000000" w:rsidRPr="001A5E49" w:rsidP="001A5E49">
      <w:pPr>
        <w:pStyle w:val="ListBullet2"/>
      </w:pPr>
      <w:r w:rsidRPr="001A5E49">
        <w:t>consumer</w:t>
      </w:r>
    </w:p>
    <w:p w:rsidR="00000000" w:rsidRPr="001A5E49" w:rsidP="001A5E49">
      <w:pPr>
        <w:pStyle w:val="ListBullet2"/>
      </w:pPr>
      <w:r w:rsidRPr="001A5E49">
        <w:t>commercial</w:t>
      </w:r>
    </w:p>
    <w:p w:rsidR="00000000" w:rsidRPr="001A5E49" w:rsidP="001A5E49">
      <w:pPr>
        <w:pStyle w:val="ListBullet2"/>
      </w:pPr>
      <w:r w:rsidRPr="001A5E49">
        <w:t>non-commercial</w:t>
      </w:r>
    </w:p>
    <w:p w:rsidR="00000000" w:rsidRPr="001A5E49" w:rsidP="001A5E49">
      <w:pPr>
        <w:pStyle w:val="ListBullet"/>
      </w:pPr>
      <w:r w:rsidRPr="001A5E49">
        <w:t>roles, responsibilities, interrelationships and hierarchy of control of different stakeholders in exhibition planning a</w:t>
      </w:r>
      <w:r w:rsidRPr="001A5E49">
        <w:t>nd operation</w:t>
      </w:r>
    </w:p>
    <w:p w:rsidR="00000000" w:rsidRPr="001A5E49" w:rsidP="001A5E49">
      <w:pPr>
        <w:pStyle w:val="ListBullet"/>
      </w:pPr>
      <w:r w:rsidRPr="001A5E49">
        <w:t>formats and options for bringing buyers and sellers together:</w:t>
      </w:r>
    </w:p>
    <w:p w:rsidR="00000000" w:rsidRPr="001A5E49" w:rsidP="001A5E49">
      <w:pPr>
        <w:pStyle w:val="ListBullet2"/>
      </w:pPr>
      <w:r w:rsidRPr="001A5E49">
        <w:t>suitability of different formats for different types of exhibition</w:t>
      </w:r>
    </w:p>
    <w:p w:rsidR="00000000" w:rsidRPr="001A5E49" w:rsidP="001A5E49">
      <w:pPr>
        <w:pStyle w:val="ListBullet2"/>
      </w:pPr>
      <w:r w:rsidRPr="001A5E49">
        <w:t>advantages and disadvantages of different formats</w:t>
      </w:r>
    </w:p>
    <w:p w:rsidR="00000000" w:rsidRPr="001A5E49" w:rsidP="001A5E49">
      <w:pPr>
        <w:pStyle w:val="ListBullet2"/>
      </w:pPr>
      <w:r w:rsidRPr="001A5E49">
        <w:t>exhibition layouts in the relevant industry context</w:t>
      </w:r>
    </w:p>
    <w:p w:rsidR="00000000" w:rsidRPr="001A5E49" w:rsidP="001A5E49">
      <w:pPr>
        <w:pStyle w:val="ListBullet"/>
      </w:pPr>
      <w:r w:rsidRPr="001A5E49">
        <w:t>formats for buyer and seller interactions:</w:t>
      </w:r>
    </w:p>
    <w:p w:rsidR="00000000" w:rsidRPr="001A5E49" w:rsidP="001A5E49">
      <w:pPr>
        <w:pStyle w:val="ListBullet2"/>
      </w:pPr>
      <w:r w:rsidRPr="001A5E49">
        <w:t>appointments made during exhibition period</w:t>
      </w:r>
    </w:p>
    <w:p w:rsidR="00000000" w:rsidRPr="001A5E49" w:rsidP="001A5E49">
      <w:pPr>
        <w:pStyle w:val="ListBullet2"/>
      </w:pPr>
      <w:r w:rsidRPr="001A5E49">
        <w:t>combination of different formats</w:t>
      </w:r>
    </w:p>
    <w:p w:rsidR="00000000" w:rsidRPr="001A5E49" w:rsidP="001A5E49">
      <w:pPr>
        <w:pStyle w:val="ListBullet2"/>
      </w:pPr>
      <w:r w:rsidRPr="001A5E49">
        <w:t>free flow</w:t>
      </w:r>
    </w:p>
    <w:p w:rsidR="00000000" w:rsidRPr="001A5E49" w:rsidP="001A5E49">
      <w:pPr>
        <w:pStyle w:val="ListBullet2"/>
      </w:pPr>
      <w:r w:rsidRPr="001A5E49">
        <w:t>prearranged appointments</w:t>
      </w:r>
    </w:p>
    <w:p w:rsidR="00000000" w:rsidRPr="001A5E49" w:rsidP="001A5E49">
      <w:pPr>
        <w:pStyle w:val="ListBullet2"/>
      </w:pPr>
      <w:r w:rsidRPr="001A5E49">
        <w:t>scheduled presentations</w:t>
      </w:r>
    </w:p>
    <w:p w:rsidR="00000000" w:rsidRPr="001A5E49" w:rsidP="001A5E49">
      <w:pPr>
        <w:pStyle w:val="ListBullet"/>
      </w:pPr>
      <w:r w:rsidRPr="001A5E49">
        <w:t>formats, features and inclusions for exhibitor prospectus kit and feedback d</w:t>
      </w:r>
      <w:r w:rsidRPr="001A5E49">
        <w:t>ocumentation</w:t>
      </w:r>
    </w:p>
    <w:p w:rsidR="00000000" w:rsidRPr="001A5E49" w:rsidP="001A5E49">
      <w:pPr>
        <w:pStyle w:val="ListBullet"/>
      </w:pPr>
      <w:r w:rsidRPr="001A5E49">
        <w:t>exhibitor support services:</w:t>
      </w:r>
    </w:p>
    <w:p w:rsidR="00000000" w:rsidRPr="001A5E49" w:rsidP="001A5E49">
      <w:pPr>
        <w:pStyle w:val="ListBullet2"/>
      </w:pPr>
      <w:r w:rsidRPr="001A5E49">
        <w:t>accommodation</w:t>
      </w:r>
    </w:p>
    <w:p w:rsidR="00000000" w:rsidRPr="001A5E49" w:rsidP="001A5E49">
      <w:pPr>
        <w:pStyle w:val="ListBullet2"/>
      </w:pPr>
      <w:r w:rsidRPr="001A5E49">
        <w:t>answering general enquiries</w:t>
      </w:r>
    </w:p>
    <w:p w:rsidR="00000000" w:rsidRPr="001A5E49" w:rsidP="001A5E49">
      <w:pPr>
        <w:pStyle w:val="ListBullet2"/>
      </w:pPr>
      <w:r w:rsidRPr="001A5E49">
        <w:t>assistance with additional promotions</w:t>
      </w:r>
    </w:p>
    <w:p w:rsidR="00000000" w:rsidRPr="001A5E49" w:rsidP="001A5E49">
      <w:pPr>
        <w:pStyle w:val="ListBullet2"/>
      </w:pPr>
      <w:r w:rsidRPr="001A5E49">
        <w:t>briefings and debriefings</w:t>
      </w:r>
    </w:p>
    <w:p w:rsidR="00000000" w:rsidRPr="001A5E49" w:rsidP="001A5E49">
      <w:pPr>
        <w:pStyle w:val="ListBullet2"/>
      </w:pPr>
      <w:r w:rsidRPr="001A5E49">
        <w:t>providing updated information</w:t>
      </w:r>
    </w:p>
    <w:p w:rsidR="00000000" w:rsidRPr="001A5E49" w:rsidP="001A5E49">
      <w:pPr>
        <w:pStyle w:val="ListBullet2"/>
      </w:pPr>
      <w:r w:rsidRPr="001A5E49">
        <w:t>travel</w:t>
      </w:r>
    </w:p>
    <w:p w:rsidR="00000000" w:rsidRPr="001A5E49" w:rsidP="001A5E49">
      <w:pPr>
        <w:pStyle w:val="ListBullet"/>
      </w:pPr>
      <w:r w:rsidRPr="001A5E49">
        <w:t>information included in exhibitor kits:</w:t>
      </w:r>
    </w:p>
    <w:p w:rsidR="00000000" w:rsidRPr="001A5E49" w:rsidP="001A5E49">
      <w:pPr>
        <w:pStyle w:val="ListBullet2"/>
      </w:pPr>
      <w:r w:rsidRPr="001A5E49">
        <w:t xml:space="preserve">access </w:t>
      </w:r>
    </w:p>
    <w:p w:rsidR="00000000" w:rsidRPr="001A5E49" w:rsidP="001A5E49">
      <w:pPr>
        <w:pStyle w:val="ListBullet2"/>
      </w:pPr>
      <w:r w:rsidRPr="001A5E49">
        <w:t>delivery details</w:t>
      </w:r>
    </w:p>
    <w:p w:rsidR="00000000" w:rsidRPr="001A5E49" w:rsidP="001A5E49">
      <w:pPr>
        <w:pStyle w:val="ListBullet2"/>
      </w:pPr>
      <w:r w:rsidRPr="001A5E49">
        <w:t>floor plans</w:t>
      </w:r>
    </w:p>
    <w:p w:rsidR="00000000" w:rsidRPr="001A5E49" w:rsidP="001A5E49">
      <w:pPr>
        <w:pStyle w:val="ListBullet2"/>
      </w:pPr>
      <w:r w:rsidRPr="001A5E49">
        <w:t>sponsors</w:t>
      </w:r>
    </w:p>
    <w:p w:rsidR="00000000" w:rsidRPr="001A5E49" w:rsidP="001A5E49">
      <w:pPr>
        <w:pStyle w:val="ListBullet2"/>
      </w:pPr>
      <w:r w:rsidRPr="001A5E49">
        <w:t>technical services</w:t>
      </w:r>
    </w:p>
    <w:p w:rsidR="00000000" w:rsidRPr="001A5E49" w:rsidP="001A5E49">
      <w:pPr>
        <w:pStyle w:val="ListBullet2"/>
      </w:pPr>
      <w:r w:rsidRPr="001A5E49">
        <w:t>times and schedules</w:t>
      </w:r>
    </w:p>
    <w:p w:rsidR="00000000" w:rsidRPr="001A5E49" w:rsidP="001A5E49">
      <w:pPr>
        <w:pStyle w:val="ListBullet2"/>
      </w:pPr>
      <w:r w:rsidRPr="001A5E49">
        <w:t>travel arrangements</w:t>
      </w:r>
    </w:p>
    <w:p w:rsidR="00000000" w:rsidRPr="001A5E49" w:rsidP="001A5E49">
      <w:pPr>
        <w:pStyle w:val="ListBullet2"/>
      </w:pPr>
      <w:r w:rsidRPr="001A5E49">
        <w:t>venues</w:t>
      </w:r>
    </w:p>
    <w:p w:rsidR="00000000" w:rsidRPr="001A5E49" w:rsidP="001A5E49">
      <w:pPr>
        <w:pStyle w:val="ListBullet"/>
      </w:pPr>
      <w:r w:rsidRPr="001A5E49">
        <w:t>legal considerations for exhibitor recruitment and management:</w:t>
      </w:r>
    </w:p>
    <w:p w:rsidR="00000000" w:rsidRPr="001A5E49" w:rsidP="001A5E49">
      <w:pPr>
        <w:pStyle w:val="ListBullet2"/>
      </w:pPr>
      <w:r w:rsidRPr="001A5E49">
        <w:t>consumer protection</w:t>
      </w:r>
    </w:p>
    <w:p w:rsidR="00000000" w:rsidRPr="001A5E49" w:rsidP="001A5E49">
      <w:pPr>
        <w:pStyle w:val="ListBullet2"/>
      </w:pPr>
      <w:r w:rsidRPr="001A5E49">
        <w:t>public liability and duty of care</w:t>
      </w:r>
    </w:p>
    <w:p w:rsidR="00000000" w:rsidRPr="001A5E49" w:rsidP="001A5E49">
      <w:pPr>
        <w:pStyle w:val="ListBullet"/>
      </w:pPr>
      <w:r w:rsidRPr="001A5E49">
        <w:t>risks, issues and challenges commonly encountered</w:t>
      </w:r>
      <w:r w:rsidRPr="001A5E49">
        <w:t xml:space="preserve"> in exhibitor management and ways to avoid and manage them.</w:t>
      </w:r>
    </w:p>
    <w:p w:rsidR="00000000" w:rsidRPr="001A5E49" w:rsidP="001A5E49">
      <w:pPr>
        <w:pStyle w:val="AllowPageBreak"/>
      </w:pPr>
    </w:p>
    <w:p w:rsidR="00000000" w:rsidRPr="001A5E49" w:rsidP="001A5E49">
      <w:pPr>
        <w:pStyle w:val="Heading1"/>
      </w:pPr>
      <w:bookmarkStart w:id="4" w:name="O_767341"/>
      <w:bookmarkEnd w:id="4"/>
      <w:r w:rsidRPr="001A5E49">
        <w:t>Assessment Conditions</w:t>
      </w:r>
    </w:p>
    <w:p w:rsidR="00000000" w:rsidRPr="001A5E49" w:rsidP="006D5024">
      <w:pPr>
        <w:pStyle w:val="BodyText"/>
      </w:pPr>
      <w:r w:rsidRPr="001A5E49">
        <w:t>Skills must be demonstrated in an operational exhibition context where the recruitment and management of exhibitors is required. This can be:</w:t>
      </w:r>
    </w:p>
    <w:p w:rsidR="00000000" w:rsidRPr="001A5E49" w:rsidP="001A5E49">
      <w:pPr>
        <w:pStyle w:val="ListBullet"/>
      </w:pPr>
      <w:r w:rsidRPr="001A5E49">
        <w:t>a live exhibition</w:t>
      </w:r>
    </w:p>
    <w:p w:rsidR="00000000" w:rsidRPr="001A5E49" w:rsidP="001A5E49">
      <w:pPr>
        <w:pStyle w:val="ListBullet"/>
      </w:pPr>
      <w:r w:rsidRPr="001A5E49">
        <w:t xml:space="preserve">a simulated exhibition set up for the purpose of skills assessment. </w:t>
      </w:r>
    </w:p>
    <w:p w:rsidR="00000000" w:rsidRPr="001A5E49" w:rsidP="001A5E49">
      <w:pPr>
        <w:pStyle w:val="BodyText"/>
      </w:pPr>
    </w:p>
    <w:p w:rsidR="00000000" w:rsidRPr="001A5E49" w:rsidP="006D5024">
      <w:pPr>
        <w:pStyle w:val="BodyText"/>
      </w:pPr>
      <w:r w:rsidRPr="001A5E49">
        <w:t xml:space="preserve">Assessment must ensure access to: </w:t>
      </w:r>
    </w:p>
    <w:p w:rsidR="00000000" w:rsidRPr="001A5E49" w:rsidP="001A5E49">
      <w:pPr>
        <w:pStyle w:val="ListBullet"/>
      </w:pPr>
      <w:r w:rsidRPr="001A5E49">
        <w:t xml:space="preserve">venues and sites where exhibitions are staged </w:t>
      </w:r>
    </w:p>
    <w:p w:rsidR="00000000" w:rsidRPr="001A5E49" w:rsidP="001A5E49">
      <w:pPr>
        <w:pStyle w:val="ListBullet"/>
      </w:pPr>
      <w:r w:rsidRPr="001A5E49">
        <w:t>dedicated event budgets</w:t>
      </w:r>
    </w:p>
    <w:p w:rsidR="00000000" w:rsidRPr="001A5E49" w:rsidP="001A5E49">
      <w:pPr>
        <w:pStyle w:val="ListBullet"/>
      </w:pPr>
      <w:r w:rsidRPr="001A5E49">
        <w:t>comprehensive exhibition plans</w:t>
      </w:r>
    </w:p>
    <w:p w:rsidR="00000000" w:rsidRPr="001A5E49" w:rsidP="001A5E49">
      <w:pPr>
        <w:pStyle w:val="ListBullet"/>
      </w:pPr>
      <w:r w:rsidRPr="001A5E49">
        <w:t>formal communication plans</w:t>
      </w:r>
    </w:p>
    <w:p w:rsidR="00000000" w:rsidRPr="001A5E49" w:rsidP="001A5E49">
      <w:pPr>
        <w:pStyle w:val="ListBullet"/>
      </w:pPr>
      <w:r w:rsidRPr="001A5E49">
        <w:t>exh</w:t>
      </w:r>
      <w:r w:rsidRPr="001A5E49">
        <w:t>ibitor contracts and agreements</w:t>
      </w:r>
    </w:p>
    <w:p w:rsidR="00000000" w:rsidRPr="001A5E49" w:rsidP="001A5E49">
      <w:pPr>
        <w:pStyle w:val="ListBullet"/>
      </w:pPr>
      <w:r w:rsidRPr="001A5E49">
        <w:t>exhibitor kits</w:t>
      </w:r>
    </w:p>
    <w:p w:rsidR="00000000" w:rsidRPr="001A5E49" w:rsidP="001A5E49">
      <w:pPr>
        <w:pStyle w:val="ListBullet"/>
      </w:pPr>
      <w:r w:rsidRPr="001A5E49">
        <w:t>exhibition stakeholders with whom the individual can consult and liaise with during the planning and operation of exhibitions and an exhibition operations team; these can be:</w:t>
      </w:r>
    </w:p>
    <w:p w:rsidR="00000000" w:rsidRPr="001A5E49" w:rsidP="001A5E49">
      <w:pPr>
        <w:pStyle w:val="ListBullet2"/>
      </w:pPr>
      <w:r w:rsidRPr="001A5E49">
        <w:t>those in an industry workplace wh</w:t>
      </w:r>
      <w:r w:rsidRPr="001A5E49">
        <w:t>o are assisted by the individual during the assessment process; or</w:t>
      </w:r>
    </w:p>
    <w:p w:rsidR="00000000" w:rsidRPr="001A5E49" w:rsidP="001A5E49">
      <w:pPr>
        <w:pStyle w:val="ListBullet2"/>
      </w:pPr>
      <w:r w:rsidRPr="001A5E49">
        <w:t>individuals who participate in role plays or simulated activities, set up for the purpose of assessment, in a simulated industry environment operated within a training organisation.</w:t>
      </w:r>
    </w:p>
    <w:p w:rsidR="00000000" w:rsidRPr="001A5E49" w:rsidP="001A5E49">
      <w:pPr>
        <w:pStyle w:val="BodyText"/>
      </w:pPr>
    </w:p>
    <w:p w:rsidR="00000000" w:rsidRPr="001A5E49" w:rsidP="006D5024">
      <w:pPr>
        <w:pStyle w:val="BodyText"/>
      </w:pPr>
      <w:r w:rsidRPr="001A5E49">
        <w:t>Assessors must satisfy the Standards for Registered Training Organisation’s requirements for assessors; and:</w:t>
      </w:r>
    </w:p>
    <w:p w:rsidR="00000000" w:rsidRPr="001A5E49" w:rsidP="001A5E49">
      <w:pPr>
        <w:pStyle w:val="ListBullet"/>
      </w:pPr>
      <w:r w:rsidRPr="001A5E49">
        <w:t>have worked in industry for at least three years where they have applied the skills and knowledge of this unit of competency.</w:t>
      </w:r>
    </w:p>
    <w:p w:rsidR="00000000" w:rsidRPr="001A5E49" w:rsidP="001A5E49">
      <w:pPr>
        <w:pStyle w:val="AllowPageBreak"/>
      </w:pPr>
    </w:p>
    <w:p w:rsidR="00000000" w:rsidRPr="001A5E49" w:rsidP="001A5E49">
      <w:pPr>
        <w:pStyle w:val="Heading1"/>
      </w:pPr>
      <w:bookmarkStart w:id="5" w:name="O_767344"/>
      <w:bookmarkEnd w:id="5"/>
      <w:r w:rsidRPr="001A5E49">
        <w:t>Lin</w:t>
      </w:r>
      <w:r w:rsidRPr="001A5E49">
        <w:t>ks</w:t>
      </w:r>
    </w:p>
    <w:p w:rsidR="00000000" w:rsidRPr="001A5E49" w:rsidP="006D5024">
      <w:pPr>
        <w:pStyle w:val="BodyText"/>
      </w:pPr>
      <w:r w:rsidRPr="001A5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40CA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A5E49" w:rsidP="001A5E49"/>
    <w:sectPr w:rsidSect="001A5E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49" w:rsidRPr="006D5024" w:rsidP="006D5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4" w:rsidP="001A5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024" w:rsidP="001A5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024" w:rsidP="001A5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E49" w:rsidRPr="006D5024" w:rsidP="006D5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4" w:rsidRPr="002D2AF8" w:rsidP="001A5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SITEEVT019 Recruit and manage exhibitors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D5024" w:rsidP="001A5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16E8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186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3CD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E49"/>
  </w:style>
  <w:style w:type="character" w:customStyle="1" w:styleId="Heading1Char">
    <w:name w:val="Heading 1 Char"/>
    <w:basedOn w:val="DefaultParagraphFont"/>
    <w:link w:val="Heading1"/>
    <w:rsid w:val="001A5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E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5E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5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5E49"/>
    <w:rPr>
      <w:b/>
      <w:spacing w:val="0"/>
    </w:rPr>
  </w:style>
  <w:style w:type="paragraph" w:customStyle="1" w:styleId="SuperTitle">
    <w:name w:val="SuperTitle"/>
    <w:basedOn w:val="Title"/>
    <w:rsid w:val="001A5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5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E49"/>
    <w:rPr>
      <w:i/>
    </w:rPr>
  </w:style>
  <w:style w:type="paragraph" w:styleId="Caption">
    <w:name w:val="caption"/>
    <w:basedOn w:val="BodyText"/>
    <w:next w:val="Normal"/>
    <w:qFormat/>
    <w:rsid w:val="001A5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E49"/>
  </w:style>
  <w:style w:type="paragraph" w:styleId="TableofFigures">
    <w:name w:val="table of figures"/>
    <w:basedOn w:val="Normal"/>
    <w:next w:val="Normal"/>
    <w:semiHidden/>
    <w:rsid w:val="001A5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E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5E49"/>
    <w:rPr>
      <w:rFonts w:ascii="Wingdings" w:hAnsi="Wingdings"/>
    </w:rPr>
  </w:style>
  <w:style w:type="paragraph" w:customStyle="1" w:styleId="TableHeading">
    <w:name w:val="Table Heading"/>
    <w:basedOn w:val="HeadingBase"/>
    <w:rsid w:val="001A5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E49"/>
    <w:rPr>
      <w:color w:val="0033CC"/>
      <w:u w:val="none"/>
    </w:rPr>
  </w:style>
  <w:style w:type="paragraph" w:customStyle="1" w:styleId="BodyTextRight">
    <w:name w:val="Body Text Right"/>
    <w:basedOn w:val="BodyText"/>
    <w:rsid w:val="001A5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E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E49"/>
    <w:rPr>
      <w:sz w:val="32"/>
    </w:rPr>
  </w:style>
  <w:style w:type="paragraph" w:customStyle="1" w:styleId="HeadingProcedure">
    <w:name w:val="Heading Procedure"/>
    <w:basedOn w:val="HeadingBase"/>
    <w:next w:val="Normal"/>
    <w:rsid w:val="001A5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E49"/>
    <w:pPr>
      <w:spacing w:before="60" w:after="60"/>
    </w:pPr>
  </w:style>
  <w:style w:type="paragraph" w:styleId="ListContinue">
    <w:name w:val="List Continue"/>
    <w:basedOn w:val="List"/>
    <w:rsid w:val="001A5E49"/>
    <w:pPr>
      <w:ind w:firstLine="0"/>
    </w:pPr>
  </w:style>
  <w:style w:type="paragraph" w:customStyle="1" w:styleId="ListNote">
    <w:name w:val="List Note"/>
    <w:basedOn w:val="List"/>
    <w:rsid w:val="001A5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E49"/>
    <w:rPr>
      <w:rFonts w:ascii="Courier New" w:hAnsi="Courier New"/>
    </w:rPr>
  </w:style>
  <w:style w:type="paragraph" w:customStyle="1" w:styleId="NoteBullet">
    <w:name w:val="Note Bullet"/>
    <w:basedOn w:val="Note"/>
    <w:rsid w:val="001A5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5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E49"/>
    <w:rPr>
      <w:b/>
      <w:smallCaps/>
    </w:rPr>
  </w:style>
  <w:style w:type="paragraph" w:customStyle="1" w:styleId="TableListNumber">
    <w:name w:val="Table List Number"/>
    <w:basedOn w:val="ListNumber"/>
    <w:rsid w:val="001A5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E49"/>
    <w:pPr>
      <w:numPr>
        <w:numId w:val="9"/>
      </w:numPr>
    </w:pPr>
  </w:style>
  <w:style w:type="paragraph" w:customStyle="1" w:styleId="ListAlpha2">
    <w:name w:val="List Alpha 2"/>
    <w:basedOn w:val="List2"/>
    <w:rsid w:val="001A5E49"/>
    <w:pPr>
      <w:numPr>
        <w:numId w:val="8"/>
      </w:numPr>
    </w:pPr>
  </w:style>
  <w:style w:type="paragraph" w:styleId="List2">
    <w:name w:val="List 2"/>
    <w:basedOn w:val="BodyText"/>
    <w:rsid w:val="001A5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E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5E49"/>
    <w:pPr>
      <w:numPr>
        <w:numId w:val="4"/>
      </w:numPr>
    </w:pPr>
  </w:style>
  <w:style w:type="paragraph" w:styleId="ListContinue2">
    <w:name w:val="List Continue 2"/>
    <w:basedOn w:val="List2"/>
    <w:rsid w:val="001A5E49"/>
    <w:pPr>
      <w:ind w:firstLine="0"/>
    </w:pPr>
  </w:style>
  <w:style w:type="paragraph" w:styleId="ListContinue3">
    <w:name w:val="List Continue 3"/>
    <w:basedOn w:val="List3"/>
    <w:rsid w:val="001A5E49"/>
    <w:pPr>
      <w:ind w:left="1021" w:firstLine="0"/>
    </w:pPr>
  </w:style>
  <w:style w:type="paragraph" w:styleId="ListContinue4">
    <w:name w:val="List Continue 4"/>
    <w:basedOn w:val="List4"/>
    <w:rsid w:val="001A5E49"/>
    <w:pPr>
      <w:ind w:firstLine="0"/>
    </w:pPr>
  </w:style>
  <w:style w:type="paragraph" w:styleId="ListContinue5">
    <w:name w:val="List Continue 5"/>
    <w:basedOn w:val="List5"/>
    <w:rsid w:val="001A5E49"/>
    <w:pPr>
      <w:ind w:firstLine="0"/>
    </w:pPr>
  </w:style>
  <w:style w:type="paragraph" w:styleId="ListNumber3">
    <w:name w:val="List Number 3"/>
    <w:basedOn w:val="List3"/>
    <w:rsid w:val="001A5E49"/>
    <w:pPr>
      <w:numPr>
        <w:numId w:val="5"/>
      </w:numPr>
    </w:pPr>
  </w:style>
  <w:style w:type="paragraph" w:styleId="ListNumber4">
    <w:name w:val="List Number 4"/>
    <w:basedOn w:val="List4"/>
    <w:rsid w:val="001A5E49"/>
    <w:pPr>
      <w:numPr>
        <w:numId w:val="6"/>
      </w:numPr>
    </w:pPr>
  </w:style>
  <w:style w:type="paragraph" w:styleId="ListNumber5">
    <w:name w:val="List Number 5"/>
    <w:basedOn w:val="List5"/>
    <w:rsid w:val="001A5E49"/>
    <w:pPr>
      <w:numPr>
        <w:numId w:val="7"/>
      </w:numPr>
    </w:pPr>
  </w:style>
  <w:style w:type="paragraph" w:styleId="BlockText">
    <w:name w:val="Block Text"/>
    <w:basedOn w:val="Normal"/>
    <w:rsid w:val="001A5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E49"/>
    <w:rPr>
      <w:sz w:val="16"/>
      <w:vertAlign w:val="superscript"/>
    </w:rPr>
  </w:style>
  <w:style w:type="character" w:customStyle="1" w:styleId="Symbols">
    <w:name w:val="Symbols"/>
    <w:basedOn w:val="DefaultParagraphFont"/>
    <w:rsid w:val="001A5E49"/>
    <w:rPr>
      <w:rFonts w:ascii="Symbol" w:hAnsi="Symbol"/>
    </w:rPr>
  </w:style>
  <w:style w:type="character" w:customStyle="1" w:styleId="MenuOptions">
    <w:name w:val="Menu Options"/>
    <w:basedOn w:val="DefaultParagraphFont"/>
    <w:rsid w:val="001A5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E49"/>
    <w:rPr>
      <w:b/>
    </w:rPr>
  </w:style>
  <w:style w:type="character" w:customStyle="1" w:styleId="Underlined">
    <w:name w:val="Underlined"/>
    <w:basedOn w:val="DefaultParagraphFont"/>
    <w:rsid w:val="001A5E49"/>
    <w:rPr>
      <w:u w:val="single"/>
    </w:rPr>
  </w:style>
  <w:style w:type="paragraph" w:customStyle="1" w:styleId="TableBodyTextRight">
    <w:name w:val="Table Body Text Right"/>
    <w:basedOn w:val="TableBodyText"/>
    <w:rsid w:val="001A5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E49"/>
    <w:rPr>
      <w:sz w:val="18"/>
    </w:rPr>
  </w:style>
  <w:style w:type="paragraph" w:customStyle="1" w:styleId="BodySmallRight">
    <w:name w:val="Body Small Right"/>
    <w:basedOn w:val="BodyTextRight"/>
    <w:rsid w:val="001A5E49"/>
    <w:rPr>
      <w:sz w:val="18"/>
      <w:szCs w:val="18"/>
    </w:rPr>
  </w:style>
  <w:style w:type="paragraph" w:customStyle="1" w:styleId="MarginEdition">
    <w:name w:val="Margin Edition"/>
    <w:basedOn w:val="MarginNote"/>
    <w:rsid w:val="001A5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E49"/>
    <w:rPr>
      <w:sz w:val="2"/>
      <w:szCs w:val="2"/>
    </w:rPr>
  </w:style>
  <w:style w:type="character" w:customStyle="1" w:styleId="Small">
    <w:name w:val="Small"/>
    <w:basedOn w:val="DefaultParagraphFont"/>
    <w:rsid w:val="001A5E49"/>
    <w:rPr>
      <w:sz w:val="16"/>
    </w:rPr>
  </w:style>
  <w:style w:type="paragraph" w:customStyle="1" w:styleId="WideTable">
    <w:name w:val="Wide Table"/>
    <w:basedOn w:val="Normal"/>
    <w:rsid w:val="001A5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E49"/>
  </w:style>
  <w:style w:type="paragraph" w:styleId="Quote">
    <w:name w:val="Quote"/>
    <w:basedOn w:val="Heading1"/>
    <w:link w:val="QuoteChar"/>
    <w:qFormat/>
    <w:rsid w:val="001A5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E49"/>
    <w:pPr>
      <w:pageBreakBefore/>
    </w:pPr>
  </w:style>
  <w:style w:type="paragraph" w:customStyle="1" w:styleId="Border">
    <w:name w:val="Border"/>
    <w:basedOn w:val="Normal"/>
    <w:qFormat/>
    <w:rsid w:val="001A5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E49"/>
    <w:rPr>
      <w:u w:val="single"/>
    </w:rPr>
  </w:style>
  <w:style w:type="character" w:customStyle="1" w:styleId="BoldandItalics">
    <w:name w:val="Bold and Italics"/>
    <w:qFormat/>
    <w:rsid w:val="001A5E49"/>
    <w:rPr>
      <w:b/>
      <w:i/>
      <w:u w:val="none"/>
    </w:rPr>
  </w:style>
  <w:style w:type="paragraph" w:styleId="BalloonText">
    <w:name w:val="Balloon Text"/>
    <w:basedOn w:val="Normal"/>
    <w:link w:val="BalloonTextChar"/>
    <w:rsid w:val="001A5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E49"/>
    <w:pPr>
      <w:spacing w:before="0" w:after="0"/>
    </w:pPr>
  </w:style>
  <w:style w:type="paragraph" w:customStyle="1" w:styleId="BodyTextBold">
    <w:name w:val="Body Text Bold"/>
    <w:basedOn w:val="BodyText"/>
    <w:qFormat/>
    <w:rsid w:val="001A5E49"/>
    <w:rPr>
      <w:b/>
    </w:rPr>
  </w:style>
  <w:style w:type="character" w:styleId="Hyperlink">
    <w:name w:val="Hyperlink"/>
    <w:basedOn w:val="DefaultParagraphFont"/>
    <w:uiPriority w:val="99"/>
    <w:unhideWhenUsed/>
    <w:rsid w:val="006D5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3891</Characters>
  <Application>Microsoft Office Word</Application>
  <DocSecurity>0</DocSecurity>
  <Lines>117</Lines>
  <Paragraphs>101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SITEEVT019 Recruit and manage exhibitors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