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B78" w:rsidP="00C77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SITEEVT011 Research event industry trends and practice</w:t>
      </w:r>
      <w:r>
        <w:fldChar w:fldCharType="end"/>
      </w:r>
    </w:p>
    <w:p w:rsidR="00C77B78" w:rsidP="00C77B78">
      <w:pPr>
        <w:pStyle w:val="Version"/>
        <w:sectPr w:rsidSect="00A84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E0E" w:rsidP="00A84E0E">
      <w:pPr>
        <w:pStyle w:val="SuperHeading"/>
      </w:pPr>
      <w:r w:rsidRPr="00A84E0E">
        <w:t>Assessment Requirements for SITEEVT011 Research event industry trends and practice</w:t>
      </w:r>
    </w:p>
    <w:p w:rsidR="00000000" w:rsidRPr="00A84E0E" w:rsidP="00A84E0E">
      <w:pPr>
        <w:pStyle w:val="Heading1"/>
      </w:pPr>
      <w:bookmarkStart w:id="1" w:name="O_767186"/>
      <w:bookmarkEnd w:id="1"/>
      <w:r w:rsidRPr="00A84E0E">
        <w:t>Modification History</w:t>
      </w:r>
    </w:p>
    <w:p w:rsidR="00000000" w:rsidRPr="00A84E0E" w:rsidP="00C77B78">
      <w:pPr>
        <w:pStyle w:val="BodyText"/>
      </w:pPr>
      <w:r w:rsidRPr="00A84E0E">
        <w:t>Not applicable.</w:t>
      </w:r>
    </w:p>
    <w:p w:rsidR="00000000" w:rsidRPr="00A84E0E" w:rsidP="00A84E0E">
      <w:pPr>
        <w:pStyle w:val="Heading1"/>
      </w:pPr>
      <w:bookmarkStart w:id="2" w:name="O_767187"/>
      <w:bookmarkEnd w:id="2"/>
      <w:r w:rsidRPr="00A84E0E">
        <w:t>Performance Evidence</w:t>
      </w:r>
    </w:p>
    <w:p w:rsidR="00000000" w:rsidRPr="00A84E0E" w:rsidP="00C77B78">
      <w:pPr>
        <w:pStyle w:val="BodyText"/>
      </w:pPr>
      <w:r w:rsidRPr="00A84E0E">
        <w:t>Evidence of the ability to comp</w:t>
      </w:r>
      <w:r w:rsidRPr="00A84E0E">
        <w:t>lete tasks outlined in elements and performance criteria of this unit in the context of the job role, and:</w:t>
      </w:r>
    </w:p>
    <w:p w:rsidR="00000000" w:rsidRPr="00A84E0E" w:rsidP="00A84E0E">
      <w:pPr>
        <w:pStyle w:val="ListBullet"/>
      </w:pPr>
      <w:r w:rsidRPr="00A84E0E">
        <w:t>document and evaluate current trends in event ideas, concepts and management practices in the following areas:</w:t>
      </w:r>
    </w:p>
    <w:p w:rsidR="00000000" w:rsidRPr="00A84E0E" w:rsidP="00A84E0E">
      <w:pPr>
        <w:pStyle w:val="ListBullet2"/>
      </w:pPr>
      <w:r w:rsidRPr="00A84E0E">
        <w:t>event operations</w:t>
      </w:r>
    </w:p>
    <w:p w:rsidR="00000000" w:rsidRPr="00A84E0E" w:rsidP="00A84E0E">
      <w:pPr>
        <w:pStyle w:val="ListBullet2"/>
      </w:pPr>
      <w:r w:rsidRPr="00A84E0E">
        <w:t>risk management</w:t>
      </w:r>
    </w:p>
    <w:p w:rsidR="00000000" w:rsidRPr="00A84E0E" w:rsidP="00A84E0E">
      <w:pPr>
        <w:pStyle w:val="ListBullet2"/>
      </w:pPr>
      <w:r w:rsidRPr="00A84E0E">
        <w:t>sus</w:t>
      </w:r>
      <w:r w:rsidRPr="00A84E0E">
        <w:t>tainability</w:t>
      </w:r>
    </w:p>
    <w:p w:rsidR="00000000" w:rsidRPr="00A84E0E" w:rsidP="00A84E0E">
      <w:pPr>
        <w:pStyle w:val="ListBullet2"/>
      </w:pPr>
      <w:r w:rsidRPr="00A84E0E">
        <w:t>technology</w:t>
      </w:r>
    </w:p>
    <w:p w:rsidR="00000000" w:rsidRPr="00A84E0E" w:rsidP="00A84E0E">
      <w:pPr>
        <w:pStyle w:val="ListBullet2"/>
      </w:pPr>
      <w:r w:rsidRPr="00A84E0E">
        <w:t>best practice in event management</w:t>
      </w:r>
    </w:p>
    <w:p w:rsidR="00000000" w:rsidRPr="00A84E0E" w:rsidP="00A84E0E">
      <w:pPr>
        <w:pStyle w:val="ListBullet"/>
      </w:pPr>
      <w:r w:rsidRPr="00A84E0E">
        <w:t>analyse above research findings to inform professional practice by:</w:t>
      </w:r>
    </w:p>
    <w:p w:rsidR="00000000" w:rsidRPr="00A84E0E" w:rsidP="00A84E0E">
      <w:pPr>
        <w:pStyle w:val="ListBullet2"/>
      </w:pPr>
      <w:r w:rsidRPr="00A84E0E">
        <w:t>identifying ways to adapt current practice</w:t>
      </w:r>
    </w:p>
    <w:p w:rsidR="00000000" w:rsidRPr="00A84E0E" w:rsidP="00A84E0E">
      <w:pPr>
        <w:pStyle w:val="ListBullet2"/>
      </w:pPr>
      <w:r w:rsidRPr="00A84E0E">
        <w:t>developing new approaches to work</w:t>
      </w:r>
    </w:p>
    <w:p w:rsidR="00000000" w:rsidRPr="00A84E0E" w:rsidP="00A84E0E">
      <w:pPr>
        <w:pStyle w:val="ListBullet2"/>
      </w:pPr>
      <w:r w:rsidRPr="00A84E0E">
        <w:t xml:space="preserve">developing awareness of new operational innovations. </w:t>
      </w:r>
    </w:p>
    <w:p w:rsidR="00000000" w:rsidRPr="00A84E0E" w:rsidP="00A84E0E">
      <w:pPr>
        <w:pStyle w:val="AllowPageBreak"/>
      </w:pPr>
    </w:p>
    <w:p w:rsidR="00000000" w:rsidRPr="00A84E0E" w:rsidP="00A84E0E">
      <w:pPr>
        <w:pStyle w:val="Heading1"/>
      </w:pPr>
      <w:bookmarkStart w:id="3" w:name="O_767188"/>
      <w:bookmarkEnd w:id="3"/>
      <w:r w:rsidRPr="00A84E0E">
        <w:t>Knowledge Evidence</w:t>
      </w:r>
    </w:p>
    <w:p w:rsidR="00000000" w:rsidRPr="00A84E0E" w:rsidP="00C77B78">
      <w:pPr>
        <w:pStyle w:val="BodyText"/>
      </w:pPr>
      <w:r w:rsidRPr="00A84E0E">
        <w:t>Demonstrated knowledge required to complete the tasks outlined in elements and performance criteria of this unit:</w:t>
      </w:r>
    </w:p>
    <w:p w:rsidR="00000000" w:rsidRPr="00A84E0E" w:rsidP="00A84E0E">
      <w:pPr>
        <w:pStyle w:val="ListBullet"/>
      </w:pPr>
      <w:r w:rsidRPr="00A84E0E">
        <w:t>research methodologies and strategies:</w:t>
      </w:r>
    </w:p>
    <w:p w:rsidR="00000000" w:rsidRPr="00A84E0E" w:rsidP="00A84E0E">
      <w:pPr>
        <w:pStyle w:val="ListBullet2"/>
      </w:pPr>
      <w:r w:rsidRPr="00A84E0E">
        <w:t>collaborati</w:t>
      </w:r>
      <w:r w:rsidRPr="00A84E0E">
        <w:t>on or engagement with others:</w:t>
      </w:r>
    </w:p>
    <w:p w:rsidR="00000000" w:rsidRPr="00A84E0E" w:rsidP="00A84E0E">
      <w:pPr>
        <w:pStyle w:val="ListBullet3"/>
      </w:pPr>
      <w:r w:rsidRPr="00A84E0E">
        <w:t>academics</w:t>
      </w:r>
    </w:p>
    <w:p w:rsidR="00000000" w:rsidRPr="00A84E0E" w:rsidP="00A84E0E">
      <w:pPr>
        <w:pStyle w:val="ListBullet3"/>
      </w:pPr>
      <w:r w:rsidRPr="00A84E0E">
        <w:t>industry groups</w:t>
      </w:r>
    </w:p>
    <w:p w:rsidR="00000000" w:rsidRPr="00A84E0E" w:rsidP="00A84E0E">
      <w:pPr>
        <w:pStyle w:val="ListBullet3"/>
      </w:pPr>
      <w:r w:rsidRPr="00A84E0E">
        <w:t>mentors</w:t>
      </w:r>
    </w:p>
    <w:p w:rsidR="00000000" w:rsidRPr="00A84E0E" w:rsidP="00A84E0E">
      <w:pPr>
        <w:pStyle w:val="ListBullet3"/>
      </w:pPr>
      <w:r w:rsidRPr="00A84E0E">
        <w:t>professional practitioners</w:t>
      </w:r>
    </w:p>
    <w:p w:rsidR="00000000" w:rsidRPr="00A84E0E" w:rsidP="00A84E0E">
      <w:pPr>
        <w:pStyle w:val="ListBullet2"/>
      </w:pPr>
      <w:r w:rsidRPr="00A84E0E">
        <w:t>desk research</w:t>
      </w:r>
    </w:p>
    <w:p w:rsidR="00000000" w:rsidRPr="00A84E0E" w:rsidP="00A84E0E">
      <w:pPr>
        <w:pStyle w:val="ListBullet2"/>
      </w:pPr>
      <w:r w:rsidRPr="00A84E0E">
        <w:t>formal study</w:t>
      </w:r>
    </w:p>
    <w:p w:rsidR="00000000" w:rsidRPr="00A84E0E" w:rsidP="00A84E0E">
      <w:pPr>
        <w:pStyle w:val="ListBullet"/>
      </w:pPr>
      <w:r w:rsidRPr="00A84E0E">
        <w:t xml:space="preserve">sources of events industry references and broader references that inform emerging and innovative </w:t>
      </w:r>
      <w:r w:rsidRPr="00A84E0E">
        <w:t xml:space="preserve">practice in event management and operations </w:t>
      </w:r>
    </w:p>
    <w:p w:rsidR="00000000" w:rsidRPr="00A84E0E" w:rsidP="00A84E0E">
      <w:pPr>
        <w:pStyle w:val="ListBullet"/>
      </w:pPr>
      <w:r w:rsidRPr="00A84E0E">
        <w:t>current and emerging events industry trends across areas of event planning and management:</w:t>
      </w:r>
    </w:p>
    <w:p w:rsidR="00000000" w:rsidRPr="00A84E0E" w:rsidP="00A84E0E">
      <w:pPr>
        <w:pStyle w:val="ListBullet2"/>
      </w:pPr>
      <w:r w:rsidRPr="00A84E0E">
        <w:t>concept development</w:t>
      </w:r>
    </w:p>
    <w:p w:rsidR="00000000" w:rsidRPr="00A84E0E" w:rsidP="00A84E0E">
      <w:pPr>
        <w:pStyle w:val="ListBullet2"/>
      </w:pPr>
      <w:r w:rsidRPr="00A84E0E">
        <w:t>marketing</w:t>
      </w:r>
    </w:p>
    <w:p w:rsidR="00000000" w:rsidRPr="00A84E0E" w:rsidP="00A84E0E">
      <w:pPr>
        <w:pStyle w:val="ListBullet2"/>
      </w:pPr>
      <w:r w:rsidRPr="00A84E0E">
        <w:t>funding and financial models</w:t>
      </w:r>
    </w:p>
    <w:p w:rsidR="00000000" w:rsidRPr="00A84E0E" w:rsidP="00A84E0E">
      <w:pPr>
        <w:pStyle w:val="ListBullet2"/>
      </w:pPr>
      <w:r w:rsidRPr="00A84E0E">
        <w:t>operations</w:t>
      </w:r>
    </w:p>
    <w:p w:rsidR="00000000" w:rsidRPr="00A84E0E" w:rsidP="00A84E0E">
      <w:pPr>
        <w:pStyle w:val="ListBullet2"/>
      </w:pPr>
      <w:r w:rsidRPr="00A84E0E">
        <w:t>regulation</w:t>
      </w:r>
    </w:p>
    <w:p w:rsidR="00000000" w:rsidRPr="00A84E0E" w:rsidP="00A84E0E">
      <w:pPr>
        <w:pStyle w:val="ListBullet2"/>
      </w:pPr>
      <w:r w:rsidRPr="00A84E0E">
        <w:t>sustainability</w:t>
      </w:r>
    </w:p>
    <w:p w:rsidR="00000000" w:rsidRPr="00A84E0E" w:rsidP="00A84E0E">
      <w:pPr>
        <w:pStyle w:val="ListBullet2"/>
      </w:pPr>
      <w:r w:rsidRPr="00A84E0E">
        <w:t xml:space="preserve">International Organization for Standardization (ISO) 20121 Event Sustainability Management Systems </w:t>
      </w:r>
    </w:p>
    <w:p w:rsidR="00000000" w:rsidRPr="00A84E0E" w:rsidP="00A84E0E">
      <w:pPr>
        <w:pStyle w:val="ListBullet2"/>
      </w:pPr>
      <w:r w:rsidRPr="00A84E0E">
        <w:t>evaluation</w:t>
      </w:r>
    </w:p>
    <w:p w:rsidR="00000000" w:rsidRPr="00A84E0E" w:rsidP="00A84E0E">
      <w:pPr>
        <w:pStyle w:val="ListBullet2"/>
      </w:pPr>
      <w:r w:rsidRPr="00A84E0E">
        <w:t>risk management and health and safety</w:t>
      </w:r>
    </w:p>
    <w:p w:rsidR="00000000" w:rsidRPr="00A84E0E" w:rsidP="00A84E0E">
      <w:pPr>
        <w:pStyle w:val="ListBullet"/>
      </w:pPr>
      <w:r w:rsidRPr="00A84E0E">
        <w:t>evolution of the events industry, globally and within Australia</w:t>
      </w:r>
    </w:p>
    <w:p w:rsidR="00000000" w:rsidRPr="00A84E0E" w:rsidP="00A84E0E">
      <w:pPr>
        <w:pStyle w:val="ListBullet"/>
      </w:pPr>
      <w:r w:rsidRPr="00A84E0E">
        <w:t xml:space="preserve">events industry networks and professional </w:t>
      </w:r>
      <w:r w:rsidRPr="00A84E0E">
        <w:t xml:space="preserve">development opportunities </w:t>
      </w:r>
    </w:p>
    <w:p w:rsidR="00000000" w:rsidRPr="00A84E0E" w:rsidP="00A84E0E">
      <w:pPr>
        <w:pStyle w:val="ListBullet"/>
      </w:pPr>
      <w:r w:rsidRPr="00A84E0E">
        <w:t>techniques and methods to generate new ideas and develop innovative approaches to work.</w:t>
      </w:r>
    </w:p>
    <w:p w:rsidR="00000000" w:rsidRPr="00A84E0E" w:rsidP="00A84E0E">
      <w:pPr>
        <w:pStyle w:val="AllowPageBreak"/>
      </w:pPr>
    </w:p>
    <w:p w:rsidR="00000000" w:rsidRPr="00A84E0E" w:rsidP="00A84E0E">
      <w:pPr>
        <w:pStyle w:val="Heading1"/>
      </w:pPr>
      <w:bookmarkStart w:id="4" w:name="O_767189"/>
      <w:bookmarkEnd w:id="4"/>
      <w:r w:rsidRPr="00A84E0E">
        <w:t>Assessment Conditions</w:t>
      </w:r>
    </w:p>
    <w:p w:rsidR="00000000" w:rsidRPr="00A84E0E" w:rsidP="00C77B78">
      <w:pPr>
        <w:pStyle w:val="BodyText"/>
      </w:pPr>
      <w:r w:rsidRPr="00A84E0E">
        <w:t>Skills must be demonstrated in an operational events business or activity where research of event trends and practice is required. This can be:</w:t>
      </w:r>
    </w:p>
    <w:p w:rsidR="00000000" w:rsidRPr="00A84E0E" w:rsidP="00A84E0E">
      <w:pPr>
        <w:pStyle w:val="ListBullet"/>
      </w:pPr>
      <w:r w:rsidRPr="00A84E0E">
        <w:t>an industry workplace</w:t>
      </w:r>
    </w:p>
    <w:p w:rsidR="00000000" w:rsidRPr="00A84E0E" w:rsidP="00A84E0E">
      <w:pPr>
        <w:pStyle w:val="ListBullet"/>
      </w:pPr>
      <w:r w:rsidRPr="00A84E0E">
        <w:t xml:space="preserve">a simulated industry environment. </w:t>
      </w:r>
    </w:p>
    <w:p w:rsidR="00000000" w:rsidRPr="00A84E0E" w:rsidP="00A84E0E">
      <w:pPr>
        <w:pStyle w:val="BodyText"/>
      </w:pPr>
    </w:p>
    <w:p w:rsidR="00000000" w:rsidRPr="00A84E0E" w:rsidP="00C77B78">
      <w:pPr>
        <w:pStyle w:val="BodyText"/>
      </w:pPr>
      <w:r w:rsidRPr="00A84E0E">
        <w:t>Assessment must ensure access to:</w:t>
      </w:r>
    </w:p>
    <w:p w:rsidR="00000000" w:rsidRPr="00A84E0E" w:rsidP="00A84E0E">
      <w:pPr>
        <w:pStyle w:val="ListBullet"/>
      </w:pPr>
      <w:r w:rsidRPr="00A84E0E">
        <w:t>a current and vari</w:t>
      </w:r>
      <w:r w:rsidRPr="00A84E0E">
        <w:t>ed range of general and specialised information sources</w:t>
      </w:r>
    </w:p>
    <w:p w:rsidR="00000000" w:rsidRPr="00A84E0E" w:rsidP="00A84E0E">
      <w:pPr>
        <w:pStyle w:val="ListBullet"/>
      </w:pPr>
      <w:r w:rsidRPr="00A84E0E">
        <w:t>communication technology and information programs used to source industry information</w:t>
      </w:r>
    </w:p>
    <w:p w:rsidR="00000000" w:rsidRPr="00A84E0E" w:rsidP="00A84E0E">
      <w:pPr>
        <w:pStyle w:val="ListBullet"/>
      </w:pPr>
      <w:r w:rsidRPr="00A84E0E">
        <w:t>industry professionals with whom the individual can collaborate.</w:t>
      </w:r>
    </w:p>
    <w:p w:rsidR="00000000" w:rsidRPr="00A84E0E" w:rsidP="00A84E0E">
      <w:pPr>
        <w:pStyle w:val="BodyText"/>
      </w:pPr>
    </w:p>
    <w:p w:rsidR="00000000" w:rsidRPr="00A84E0E" w:rsidP="00C77B78">
      <w:pPr>
        <w:pStyle w:val="BodyText"/>
      </w:pPr>
      <w:r w:rsidRPr="00A84E0E">
        <w:t>Assessors must satisfy the Standards for Registe</w:t>
      </w:r>
      <w:r w:rsidRPr="00A84E0E">
        <w:t>red Training Organisations’ requirements for assessors; and:</w:t>
      </w:r>
    </w:p>
    <w:p w:rsidR="00000000" w:rsidRPr="00A84E0E" w:rsidP="00A84E0E">
      <w:pPr>
        <w:pStyle w:val="ListBullet"/>
      </w:pPr>
      <w:r w:rsidRPr="00A84E0E">
        <w:t>have worked in industry for at least three years where they have applied the skills and knowledge of this unit of competency.</w:t>
      </w:r>
    </w:p>
    <w:p w:rsidR="00000000" w:rsidRPr="00A84E0E" w:rsidP="00A84E0E">
      <w:pPr>
        <w:pStyle w:val="AllowPageBreak"/>
      </w:pPr>
    </w:p>
    <w:p w:rsidR="00000000" w:rsidRPr="00A84E0E" w:rsidP="00A84E0E">
      <w:pPr>
        <w:pStyle w:val="Heading1"/>
      </w:pPr>
      <w:bookmarkStart w:id="5" w:name="O_767192"/>
      <w:bookmarkEnd w:id="5"/>
      <w:r w:rsidRPr="00A84E0E">
        <w:t>Links</w:t>
      </w:r>
    </w:p>
    <w:p w:rsidR="00000000" w:rsidRPr="00A84E0E" w:rsidP="00C77B78">
      <w:pPr>
        <w:pStyle w:val="BodyText"/>
      </w:pPr>
      <w:r w:rsidRPr="00A84E0E">
        <w:t>Companion Volume implementation guides are fo</w:t>
      </w:r>
      <w:r w:rsidRPr="00A84E0E">
        <w:t xml:space="preserve">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35E6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84E0E" w:rsidP="00A84E0E"/>
    <w:sectPr w:rsidSect="00A84E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0E" w:rsidRPr="00C77B78" w:rsidP="00C77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B78" w:rsidP="00A84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7B78" w:rsidP="00A84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7B78" w:rsidP="00A84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E0E" w:rsidRPr="00C77B78" w:rsidP="00C77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B78" w:rsidRPr="002D2AF8" w:rsidP="00A84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SITEEVT011 Research event industry trends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77B78" w:rsidP="00A84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C61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FE9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8275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E0E"/>
  </w:style>
  <w:style w:type="character" w:customStyle="1" w:styleId="Heading1Char">
    <w:name w:val="Heading 1 Char"/>
    <w:basedOn w:val="DefaultParagraphFont"/>
    <w:link w:val="Heading1"/>
    <w:rsid w:val="00A84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E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E0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4E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4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4E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4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E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E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4E0E"/>
    <w:rPr>
      <w:b/>
      <w:spacing w:val="0"/>
    </w:rPr>
  </w:style>
  <w:style w:type="paragraph" w:customStyle="1" w:styleId="SuperTitle">
    <w:name w:val="SuperTitle"/>
    <w:basedOn w:val="Title"/>
    <w:rsid w:val="00A84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E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E0E"/>
    <w:rPr>
      <w:i/>
    </w:rPr>
  </w:style>
  <w:style w:type="paragraph" w:styleId="Caption">
    <w:name w:val="caption"/>
    <w:basedOn w:val="BodyText"/>
    <w:next w:val="Normal"/>
    <w:qFormat/>
    <w:rsid w:val="00A84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E0E"/>
  </w:style>
  <w:style w:type="paragraph" w:styleId="TableofFigures">
    <w:name w:val="table of figures"/>
    <w:basedOn w:val="Normal"/>
    <w:next w:val="Normal"/>
    <w:semiHidden/>
    <w:rsid w:val="00A84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E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4E0E"/>
    <w:rPr>
      <w:rFonts w:ascii="Wingdings" w:hAnsi="Wingdings"/>
    </w:rPr>
  </w:style>
  <w:style w:type="paragraph" w:customStyle="1" w:styleId="TableHeading">
    <w:name w:val="Table Heading"/>
    <w:basedOn w:val="HeadingBase"/>
    <w:rsid w:val="00A84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E0E"/>
    <w:rPr>
      <w:color w:val="0033CC"/>
      <w:u w:val="none"/>
    </w:rPr>
  </w:style>
  <w:style w:type="paragraph" w:customStyle="1" w:styleId="BodyTextRight">
    <w:name w:val="Body Text Right"/>
    <w:basedOn w:val="BodyText"/>
    <w:rsid w:val="00A84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E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E0E"/>
    <w:rPr>
      <w:sz w:val="32"/>
    </w:rPr>
  </w:style>
  <w:style w:type="paragraph" w:customStyle="1" w:styleId="HeadingProcedure">
    <w:name w:val="Heading Procedure"/>
    <w:basedOn w:val="HeadingBase"/>
    <w:next w:val="Normal"/>
    <w:rsid w:val="00A84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E0E"/>
    <w:pPr>
      <w:spacing w:before="60" w:after="60"/>
    </w:pPr>
  </w:style>
  <w:style w:type="paragraph" w:styleId="ListContinue">
    <w:name w:val="List Continue"/>
    <w:basedOn w:val="List"/>
    <w:rsid w:val="00A84E0E"/>
    <w:pPr>
      <w:ind w:firstLine="0"/>
    </w:pPr>
  </w:style>
  <w:style w:type="paragraph" w:customStyle="1" w:styleId="ListNote">
    <w:name w:val="List Note"/>
    <w:basedOn w:val="List"/>
    <w:rsid w:val="00A84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E0E"/>
    <w:rPr>
      <w:rFonts w:ascii="Courier New" w:hAnsi="Courier New"/>
    </w:rPr>
  </w:style>
  <w:style w:type="paragraph" w:customStyle="1" w:styleId="NoteBullet">
    <w:name w:val="Note Bullet"/>
    <w:basedOn w:val="Note"/>
    <w:rsid w:val="00A84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E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4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E0E"/>
    <w:rPr>
      <w:b/>
      <w:smallCaps/>
    </w:rPr>
  </w:style>
  <w:style w:type="paragraph" w:customStyle="1" w:styleId="TableListNumber">
    <w:name w:val="Table List Number"/>
    <w:basedOn w:val="ListNumber"/>
    <w:rsid w:val="00A84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E0E"/>
    <w:pPr>
      <w:numPr>
        <w:numId w:val="10"/>
      </w:numPr>
    </w:pPr>
  </w:style>
  <w:style w:type="paragraph" w:customStyle="1" w:styleId="ListAlpha2">
    <w:name w:val="List Alpha 2"/>
    <w:basedOn w:val="List2"/>
    <w:rsid w:val="00A84E0E"/>
    <w:pPr>
      <w:numPr>
        <w:numId w:val="9"/>
      </w:numPr>
    </w:pPr>
  </w:style>
  <w:style w:type="paragraph" w:styleId="List2">
    <w:name w:val="List 2"/>
    <w:basedOn w:val="BodyText"/>
    <w:rsid w:val="00A84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E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4E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4E0E"/>
    <w:pPr>
      <w:numPr>
        <w:numId w:val="5"/>
      </w:numPr>
    </w:pPr>
  </w:style>
  <w:style w:type="paragraph" w:styleId="ListContinue2">
    <w:name w:val="List Continue 2"/>
    <w:basedOn w:val="List2"/>
    <w:rsid w:val="00A84E0E"/>
    <w:pPr>
      <w:ind w:firstLine="0"/>
    </w:pPr>
  </w:style>
  <w:style w:type="paragraph" w:styleId="ListContinue3">
    <w:name w:val="List Continue 3"/>
    <w:basedOn w:val="List3"/>
    <w:rsid w:val="00A84E0E"/>
    <w:pPr>
      <w:ind w:left="1021" w:firstLine="0"/>
    </w:pPr>
  </w:style>
  <w:style w:type="paragraph" w:styleId="ListContinue4">
    <w:name w:val="List Continue 4"/>
    <w:basedOn w:val="List4"/>
    <w:rsid w:val="00A84E0E"/>
    <w:pPr>
      <w:ind w:firstLine="0"/>
    </w:pPr>
  </w:style>
  <w:style w:type="paragraph" w:styleId="ListContinue5">
    <w:name w:val="List Continue 5"/>
    <w:basedOn w:val="List5"/>
    <w:rsid w:val="00A84E0E"/>
    <w:pPr>
      <w:ind w:firstLine="0"/>
    </w:pPr>
  </w:style>
  <w:style w:type="paragraph" w:styleId="ListNumber3">
    <w:name w:val="List Number 3"/>
    <w:basedOn w:val="List3"/>
    <w:rsid w:val="00A84E0E"/>
    <w:pPr>
      <w:numPr>
        <w:numId w:val="6"/>
      </w:numPr>
    </w:pPr>
  </w:style>
  <w:style w:type="paragraph" w:styleId="ListNumber4">
    <w:name w:val="List Number 4"/>
    <w:basedOn w:val="List4"/>
    <w:rsid w:val="00A84E0E"/>
    <w:pPr>
      <w:numPr>
        <w:numId w:val="7"/>
      </w:numPr>
    </w:pPr>
  </w:style>
  <w:style w:type="paragraph" w:styleId="ListNumber5">
    <w:name w:val="List Number 5"/>
    <w:basedOn w:val="List5"/>
    <w:rsid w:val="00A84E0E"/>
    <w:pPr>
      <w:numPr>
        <w:numId w:val="8"/>
      </w:numPr>
    </w:pPr>
  </w:style>
  <w:style w:type="paragraph" w:styleId="BlockText">
    <w:name w:val="Block Text"/>
    <w:basedOn w:val="Normal"/>
    <w:rsid w:val="00A84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E0E"/>
    <w:rPr>
      <w:sz w:val="16"/>
      <w:vertAlign w:val="superscript"/>
    </w:rPr>
  </w:style>
  <w:style w:type="character" w:customStyle="1" w:styleId="Symbols">
    <w:name w:val="Symbols"/>
    <w:basedOn w:val="DefaultParagraphFont"/>
    <w:rsid w:val="00A84E0E"/>
    <w:rPr>
      <w:rFonts w:ascii="Symbol" w:hAnsi="Symbol"/>
    </w:rPr>
  </w:style>
  <w:style w:type="character" w:customStyle="1" w:styleId="MenuOptions">
    <w:name w:val="Menu Options"/>
    <w:basedOn w:val="DefaultParagraphFont"/>
    <w:rsid w:val="00A84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E0E"/>
    <w:rPr>
      <w:b/>
    </w:rPr>
  </w:style>
  <w:style w:type="character" w:customStyle="1" w:styleId="Underlined">
    <w:name w:val="Underlined"/>
    <w:basedOn w:val="DefaultParagraphFont"/>
    <w:rsid w:val="00A84E0E"/>
    <w:rPr>
      <w:u w:val="single"/>
    </w:rPr>
  </w:style>
  <w:style w:type="paragraph" w:customStyle="1" w:styleId="TableBodyTextRight">
    <w:name w:val="Table Body Text Right"/>
    <w:basedOn w:val="TableBodyText"/>
    <w:rsid w:val="00A84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E0E"/>
    <w:rPr>
      <w:sz w:val="18"/>
    </w:rPr>
  </w:style>
  <w:style w:type="paragraph" w:customStyle="1" w:styleId="BodySmallRight">
    <w:name w:val="Body Small Right"/>
    <w:basedOn w:val="BodyTextRight"/>
    <w:rsid w:val="00A84E0E"/>
    <w:rPr>
      <w:sz w:val="18"/>
      <w:szCs w:val="18"/>
    </w:rPr>
  </w:style>
  <w:style w:type="paragraph" w:customStyle="1" w:styleId="MarginEdition">
    <w:name w:val="Margin Edition"/>
    <w:basedOn w:val="MarginNote"/>
    <w:rsid w:val="00A84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E0E"/>
    <w:rPr>
      <w:sz w:val="2"/>
      <w:szCs w:val="2"/>
    </w:rPr>
  </w:style>
  <w:style w:type="character" w:customStyle="1" w:styleId="Small">
    <w:name w:val="Small"/>
    <w:basedOn w:val="DefaultParagraphFont"/>
    <w:rsid w:val="00A84E0E"/>
    <w:rPr>
      <w:sz w:val="16"/>
    </w:rPr>
  </w:style>
  <w:style w:type="paragraph" w:customStyle="1" w:styleId="WideTable">
    <w:name w:val="Wide Table"/>
    <w:basedOn w:val="Normal"/>
    <w:rsid w:val="00A84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E0E"/>
  </w:style>
  <w:style w:type="paragraph" w:styleId="Quote">
    <w:name w:val="Quote"/>
    <w:basedOn w:val="Heading1"/>
    <w:link w:val="QuoteChar"/>
    <w:qFormat/>
    <w:rsid w:val="00A84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E0E"/>
    <w:pPr>
      <w:pageBreakBefore/>
    </w:pPr>
  </w:style>
  <w:style w:type="paragraph" w:customStyle="1" w:styleId="Border">
    <w:name w:val="Border"/>
    <w:basedOn w:val="Normal"/>
    <w:qFormat/>
    <w:rsid w:val="00A84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E0E"/>
    <w:rPr>
      <w:u w:val="single"/>
    </w:rPr>
  </w:style>
  <w:style w:type="character" w:customStyle="1" w:styleId="BoldandItalics">
    <w:name w:val="Bold and Italics"/>
    <w:qFormat/>
    <w:rsid w:val="00A84E0E"/>
    <w:rPr>
      <w:b/>
      <w:i/>
      <w:u w:val="none"/>
    </w:rPr>
  </w:style>
  <w:style w:type="paragraph" w:styleId="BalloonText">
    <w:name w:val="Balloon Text"/>
    <w:basedOn w:val="Normal"/>
    <w:link w:val="BalloonTextChar"/>
    <w:rsid w:val="00A84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E0E"/>
    <w:pPr>
      <w:spacing w:before="0" w:after="0"/>
    </w:pPr>
  </w:style>
  <w:style w:type="paragraph" w:customStyle="1" w:styleId="BodyTextBold">
    <w:name w:val="Body Text Bold"/>
    <w:basedOn w:val="BodyText"/>
    <w:qFormat/>
    <w:rsid w:val="00A84E0E"/>
    <w:rPr>
      <w:b/>
    </w:rPr>
  </w:style>
  <w:style w:type="character" w:styleId="Hyperlink">
    <w:name w:val="Hyperlink"/>
    <w:basedOn w:val="DefaultParagraphFont"/>
    <w:uiPriority w:val="99"/>
    <w:unhideWhenUsed/>
    <w:rsid w:val="00C77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2461</Characters>
  <Application>Microsoft Office Word</Application>
  <DocSecurity>0</DocSecurity>
  <Lines>76</Lines>
  <Paragraphs>62</Paragraphs>
  <ScaleCrop>false</ScaleCrop>
  <Company>Author-it Software Corporation Ltd.</Company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SITEEVT011 Research event industry trends and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2022-04-08T08:01:00Z</dcterms:created>
  <dcterms:modified xsi:type="dcterms:W3CDTF">2022-04-08T08:01:00Z</dcterms:modified>
</cp:coreProperties>
</file>