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040" w:rsidP="00FD1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SITEEVT008 Manage event staging components</w:t>
      </w:r>
      <w:r>
        <w:fldChar w:fldCharType="end"/>
      </w:r>
    </w:p>
    <w:p w:rsidR="00FD1040" w:rsidP="00FD1040">
      <w:pPr>
        <w:pStyle w:val="Version"/>
        <w:sectPr w:rsidSect="00F84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E92" w:rsidP="00F84E92">
      <w:pPr>
        <w:pStyle w:val="SuperHeading"/>
      </w:pPr>
      <w:r w:rsidRPr="00F84E92">
        <w:t>SITEEVT008 Manage event staging components</w:t>
      </w:r>
    </w:p>
    <w:p w:rsidR="00000000" w:rsidRPr="00F84E92" w:rsidP="00F84E92">
      <w:pPr>
        <w:pStyle w:val="Heading1"/>
      </w:pPr>
      <w:bookmarkStart w:id="1" w:name="O_767119"/>
      <w:bookmarkEnd w:id="1"/>
      <w:r w:rsidRPr="00F84E92">
        <w:t>Modification History</w:t>
      </w:r>
    </w:p>
    <w:p w:rsidR="00000000" w:rsidRPr="00F84E92" w:rsidP="00FD1040">
      <w:pPr>
        <w:pStyle w:val="BodyText"/>
      </w:pPr>
      <w:r w:rsidRPr="00F84E92">
        <w:t>Not applicable.</w:t>
      </w:r>
    </w:p>
    <w:p w:rsidR="00000000" w:rsidRPr="00F84E92" w:rsidP="00F84E92">
      <w:pPr>
        <w:pStyle w:val="Heading1"/>
      </w:pPr>
      <w:bookmarkStart w:id="2" w:name="O_767120"/>
      <w:bookmarkEnd w:id="2"/>
      <w:r w:rsidRPr="00F84E92">
        <w:t>Application</w:t>
      </w:r>
    </w:p>
    <w:p w:rsidR="00000000" w:rsidRPr="00F84E92" w:rsidP="00FD1040">
      <w:pPr>
        <w:pStyle w:val="BodyText"/>
      </w:pPr>
      <w:r w:rsidRPr="00F84E92">
        <w:t>This unit describes the performance outcomes, skills and knowledge required to analyse event staging requirements and organise and monitor different staging services and products. It require</w:t>
      </w:r>
      <w:r w:rsidRPr="00F84E92">
        <w:t>s the ability to use advanced planning, organisation and communication skills combined with detailed knowledge of the event management process and broad understanding of specialist component services.</w:t>
      </w:r>
    </w:p>
    <w:p w:rsidR="00000000" w:rsidRPr="00F84E92" w:rsidP="00FD1040">
      <w:pPr>
        <w:pStyle w:val="BodyText"/>
      </w:pPr>
      <w:r w:rsidRPr="00F84E92">
        <w:t>This unit is relevant to events that are diverse in na</w:t>
      </w:r>
      <w:r w:rsidRPr="00F84E92">
        <w:t>ture and are coordinated in many industry contexts, including the tourism, hospitality, sport, cultural and community sectors.</w:t>
      </w:r>
    </w:p>
    <w:p w:rsidR="00000000" w:rsidRPr="00F84E92" w:rsidP="00FD1040">
      <w:pPr>
        <w:pStyle w:val="BodyText"/>
      </w:pPr>
      <w:r w:rsidRPr="00F84E92">
        <w:t>It applies to event coordinators who operate independently, and are responsible for making a range of operational decisions. The</w:t>
      </w:r>
      <w:r w:rsidRPr="00F84E92">
        <w:t>y may work in event management companies, in event venues, or in organisations that organise their own events.</w:t>
      </w:r>
    </w:p>
    <w:p w:rsidR="00000000" w:rsidRPr="00F84E92" w:rsidP="00FD1040">
      <w:pPr>
        <w:pStyle w:val="BodyText"/>
      </w:pPr>
      <w:r w:rsidRPr="00F84E92">
        <w:t>The unit does not cover the high levels of technical expertise required to provide individual specialist services, such as catering, audio visua</w:t>
      </w:r>
      <w:r w:rsidRPr="00F84E92">
        <w:t>l or technical, creative and sporting services. It is also distinct from staging specialisation units that apply to staging technicians and stage managers in the entertainment industry.</w:t>
      </w:r>
    </w:p>
    <w:p w:rsidR="00000000" w:rsidRPr="00F84E92" w:rsidP="00FD1040">
      <w:pPr>
        <w:pStyle w:val="BodyText"/>
      </w:pPr>
      <w:r w:rsidRPr="00F84E92">
        <w:t>No occupational licensing, certification or specific legislative requ</w:t>
      </w:r>
      <w:r w:rsidRPr="00F84E92">
        <w:t>irements apply to this unit at the time of publication.</w:t>
      </w:r>
    </w:p>
    <w:p w:rsidR="00000000" w:rsidRPr="00F84E92" w:rsidP="00F84E92">
      <w:pPr>
        <w:pStyle w:val="Heading1"/>
      </w:pPr>
      <w:bookmarkStart w:id="3" w:name="O_767121"/>
      <w:bookmarkEnd w:id="3"/>
      <w:r w:rsidRPr="00F84E92">
        <w:t>Pre-requisite Unit</w:t>
      </w:r>
    </w:p>
    <w:p w:rsidR="00000000" w:rsidRPr="00F84E92" w:rsidP="00FD1040">
      <w:pPr>
        <w:pStyle w:val="BodyText"/>
      </w:pPr>
      <w:r w:rsidRPr="00F84E92">
        <w:t>Nil</w:t>
      </w:r>
    </w:p>
    <w:p w:rsidR="00000000" w:rsidRPr="00F84E92" w:rsidP="00F84E92">
      <w:pPr>
        <w:pStyle w:val="Heading1"/>
      </w:pPr>
      <w:bookmarkStart w:id="4" w:name="O_767122"/>
      <w:bookmarkEnd w:id="4"/>
      <w:r w:rsidRPr="00F84E92">
        <w:t>Competency Field</w:t>
      </w:r>
    </w:p>
    <w:p w:rsidR="00000000" w:rsidRPr="00F84E92" w:rsidP="00FD1040">
      <w:pPr>
        <w:pStyle w:val="BodyText"/>
      </w:pPr>
      <w:r w:rsidRPr="00F84E92">
        <w:t>Events</w:t>
      </w:r>
    </w:p>
    <w:p w:rsidR="00000000" w:rsidRPr="00F84E92" w:rsidP="00F84E92">
      <w:pPr>
        <w:pStyle w:val="Heading1"/>
      </w:pPr>
      <w:bookmarkStart w:id="5" w:name="O_767123"/>
      <w:bookmarkEnd w:id="5"/>
      <w:r w:rsidRPr="00F84E92">
        <w:t>Unit Sector</w:t>
      </w:r>
    </w:p>
    <w:p w:rsidR="00000000" w:rsidRPr="00F84E92" w:rsidP="00FD1040">
      <w:pPr>
        <w:pStyle w:val="BodyText"/>
      </w:pPr>
      <w:r w:rsidRPr="00F84E92">
        <w:t>Events</w:t>
      </w:r>
    </w:p>
    <w:p w:rsidR="00000000" w:rsidRPr="00F84E92" w:rsidP="00F84E92">
      <w:pPr>
        <w:pStyle w:val="Heading1"/>
      </w:pPr>
      <w:bookmarkStart w:id="6" w:name="O_767124"/>
      <w:bookmarkEnd w:id="6"/>
      <w:r w:rsidRPr="00F84E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BodyText"/>
            </w:pPr>
            <w:r w:rsidRPr="00F84E9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rPr>
                <w:rStyle w:val="SpecialBold"/>
              </w:rPr>
              <w:t>PERFORMANCE CRITERIA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>Performance criteria describe the performance needed to demonstrate achievement of the element.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List"/>
              <w:rPr>
                <w:lang w:val="en-NZ"/>
              </w:rPr>
            </w:pPr>
            <w:r w:rsidRPr="00F84E92">
              <w:t>1.</w:t>
            </w:r>
            <w:r w:rsidRPr="00F84E92">
              <w:tab/>
              <w:t>Analyse staging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List"/>
            </w:pPr>
            <w:r w:rsidRPr="00F84E92">
              <w:t>1.1.Analyse event staging requirements based on detailed review of proposed event.</w:t>
            </w:r>
          </w:p>
          <w:p w:rsidR="00000000" w:rsidRPr="00F84E92" w:rsidP="00F84E92">
            <w:pPr>
              <w:pStyle w:val="List"/>
            </w:pPr>
            <w:r w:rsidRPr="00F84E92">
              <w:t>1</w:t>
            </w:r>
            <w:r w:rsidRPr="00F84E92">
              <w:t>.2.Develop an accurate summary of staging requirements for each event component in consultation with key stakeholders.</w:t>
            </w:r>
          </w:p>
          <w:p w:rsidR="00000000" w:rsidRPr="00F84E92" w:rsidP="00F84E92">
            <w:pPr>
              <w:pStyle w:val="List"/>
            </w:pPr>
            <w:r w:rsidRPr="00F84E92">
              <w:t>1.3.Develop a work schedule to address staging requirements, identifying key activities, interrelationships and timelines.</w:t>
            </w:r>
          </w:p>
          <w:p w:rsidR="00000000" w:rsidP="00F84E92">
            <w:pPr>
              <w:pStyle w:val="List"/>
              <w:rPr>
                <w:lang w:val="en-NZ"/>
              </w:rPr>
            </w:pPr>
            <w:r w:rsidRPr="00F84E92">
              <w:t>1.4.Incorporat</w:t>
            </w:r>
            <w:r w:rsidRPr="00F84E92">
              <w:t>e regulatory, safety, risk and sustainability issues into planning processes.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List"/>
              <w:rPr>
                <w:lang w:val="en-NZ"/>
              </w:rPr>
            </w:pPr>
            <w:r w:rsidRPr="00F84E92">
              <w:t>2.</w:t>
            </w:r>
            <w:r w:rsidRPr="00F84E92">
              <w:tab/>
              <w:t>Source and organise staging contractors.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List"/>
            </w:pPr>
            <w:r w:rsidRPr="00F84E92">
              <w:t>2.1.Identify and source contractors according to work schedule.</w:t>
            </w:r>
          </w:p>
          <w:p w:rsidR="00000000" w:rsidRPr="00F84E92" w:rsidP="00F84E92">
            <w:pPr>
              <w:pStyle w:val="List"/>
            </w:pPr>
            <w:r w:rsidRPr="00F84E92">
              <w:t>2.2.Provide staging specifications detailing contractor requirements.</w:t>
            </w:r>
          </w:p>
          <w:p w:rsidR="00000000" w:rsidRPr="00F84E92" w:rsidP="00F84E92">
            <w:pPr>
              <w:pStyle w:val="List"/>
            </w:pPr>
            <w:r w:rsidRPr="00F84E92">
              <w:t>2.3.Obtain quotations for provision of products and services.</w:t>
            </w:r>
          </w:p>
          <w:p w:rsidR="00000000" w:rsidRPr="00F84E92" w:rsidP="00F84E92">
            <w:pPr>
              <w:pStyle w:val="List"/>
            </w:pPr>
            <w:r w:rsidRPr="00F84E92">
              <w:t>2.4.Evaluate quotations against specifications and other relevant quality criteria.</w:t>
            </w:r>
          </w:p>
          <w:p w:rsidR="00000000" w:rsidRPr="00F84E92" w:rsidP="00F84E92">
            <w:pPr>
              <w:pStyle w:val="List"/>
            </w:pPr>
            <w:r w:rsidRPr="00F84E92">
              <w:t>2.5.Conduct negotiations and select contractors using product and service knowledge to inform decisions.</w:t>
            </w:r>
          </w:p>
          <w:p w:rsidR="00000000" w:rsidP="00F84E92">
            <w:pPr>
              <w:pStyle w:val="List"/>
              <w:rPr>
                <w:lang w:val="en-NZ"/>
              </w:rPr>
            </w:pPr>
            <w:r w:rsidRPr="00F84E92">
              <w:t>2.6.</w:t>
            </w:r>
            <w:r w:rsidRPr="00F84E92">
              <w:t>Confirm agreements with contractors in writing to include details and costs of all services.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List"/>
              <w:rPr>
                <w:lang w:val="en-NZ"/>
              </w:rPr>
            </w:pPr>
            <w:r w:rsidRPr="00F84E92">
              <w:t>3.</w:t>
            </w:r>
            <w:r w:rsidRPr="00F84E92">
              <w:tab/>
              <w:t>Monitor staging preparations.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List"/>
            </w:pPr>
            <w:r w:rsidRPr="00F84E92">
              <w:t>3.1.Monitor event preparations through ongoing liaison with contractors and other stakeholders.</w:t>
            </w:r>
          </w:p>
          <w:p w:rsidR="00000000" w:rsidRPr="00F84E92" w:rsidP="00F84E92">
            <w:pPr>
              <w:pStyle w:val="List"/>
            </w:pPr>
            <w:r w:rsidRPr="00F84E92">
              <w:t>3.2.Evaluate work completed against event requirements and schedules, and take appropriate action to address delays or other problems.</w:t>
            </w:r>
          </w:p>
          <w:p w:rsidR="00000000" w:rsidRPr="00F84E92" w:rsidP="00F84E92">
            <w:pPr>
              <w:pStyle w:val="List"/>
            </w:pPr>
            <w:r w:rsidRPr="00F84E92">
              <w:t>3.3.Assess need for staging adjustments to maintain event quality and integrity.</w:t>
            </w:r>
          </w:p>
          <w:p w:rsidR="00000000" w:rsidP="00F84E92">
            <w:pPr>
              <w:pStyle w:val="List"/>
              <w:rPr>
                <w:lang w:val="en-NZ"/>
              </w:rPr>
            </w:pPr>
            <w:r w:rsidRPr="00F84E92">
              <w:t>3.4.Negotiate and confirm required chang</w:t>
            </w:r>
            <w:r w:rsidRPr="00F84E92">
              <w:t>es.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List"/>
              <w:rPr>
                <w:lang w:val="en-NZ"/>
              </w:rPr>
            </w:pPr>
            <w:r w:rsidRPr="00F84E92">
              <w:t>4.</w:t>
            </w:r>
            <w:r w:rsidRPr="00F84E92">
              <w:tab/>
              <w:t>Evaluate staging components.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List"/>
            </w:pPr>
            <w:r w:rsidRPr="00F84E92">
              <w:t>4.1.Obtain feedback from stakeholders according to predetermined evaluation criteria.</w:t>
            </w:r>
          </w:p>
          <w:p w:rsidR="00000000" w:rsidRPr="00F84E92" w:rsidP="00F84E92">
            <w:pPr>
              <w:pStyle w:val="List"/>
            </w:pPr>
            <w:r w:rsidRPr="00F84E92">
              <w:t>4.2.Evaluate staging components in terms of operational efficiency and service quality.</w:t>
            </w:r>
          </w:p>
          <w:p w:rsidR="00000000" w:rsidRPr="00F84E92" w:rsidP="00F84E92">
            <w:pPr>
              <w:pStyle w:val="List"/>
            </w:pPr>
            <w:r w:rsidRPr="00F84E92">
              <w:t>4.3.Use information to enhance future event p</w:t>
            </w:r>
            <w:r w:rsidRPr="00F84E92">
              <w:t>lanning.</w:t>
            </w:r>
          </w:p>
        </w:tc>
      </w:tr>
    </w:tbl>
    <w:p w:rsidR="00000000" w:rsidRPr="00F84E92" w:rsidP="00F84E92">
      <w:pPr>
        <w:pStyle w:val="BodyText"/>
      </w:pPr>
    </w:p>
    <w:p w:rsidR="00000000" w:rsidRPr="00F84E92" w:rsidP="00F84E92">
      <w:pPr>
        <w:pStyle w:val="AllowPageBreak"/>
      </w:pPr>
    </w:p>
    <w:p w:rsidR="00000000" w:rsidRPr="00F84E92" w:rsidP="00F84E92">
      <w:pPr>
        <w:pStyle w:val="Heading1"/>
      </w:pPr>
      <w:bookmarkStart w:id="7" w:name="O_767125"/>
      <w:bookmarkEnd w:id="7"/>
      <w:r w:rsidRPr="00F84E9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 xml:space="preserve">Foundation skills essential to performance in this unit, but not explicit in the performance criteria are listed </w:t>
            </w:r>
            <w:r w:rsidRPr="00F84E92">
              <w:t>here, along with a brief context statement.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BodyText"/>
            </w:pPr>
            <w:r w:rsidRPr="00F84E9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rPr>
                <w:rStyle w:val="SpecialBold"/>
              </w:rPr>
              <w:t>DESCRIPTION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ListBullet"/>
              <w:rPr>
                <w:lang w:val="en-NZ"/>
              </w:rPr>
            </w:pPr>
            <w:r w:rsidRPr="00F84E92">
              <w:t>interpret complex event documentation.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ListBullet"/>
            </w:pPr>
            <w:r w:rsidRPr="00F84E92">
              <w:t>conduct negotiations for the supply of products and services</w:t>
            </w:r>
          </w:p>
          <w:p w:rsidR="00000000" w:rsidP="00F84E92">
            <w:pPr>
              <w:pStyle w:val="ListBullet"/>
              <w:rPr>
                <w:lang w:val="en-NZ"/>
              </w:rPr>
            </w:pPr>
            <w:r w:rsidRPr="00F84E92">
              <w:t>manage relationships with staging contractors.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ListBullet"/>
            </w:pPr>
            <w:r w:rsidRPr="00F84E92">
              <w:t>evaluate event budgets</w:t>
            </w:r>
          </w:p>
          <w:p w:rsidR="00000000" w:rsidP="00F84E92">
            <w:pPr>
              <w:pStyle w:val="ListBullet"/>
              <w:rPr>
                <w:lang w:val="en-NZ"/>
              </w:rPr>
            </w:pPr>
            <w:r w:rsidRPr="00F84E92">
              <w:t>assess contractor quotations and negotiate costs.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ListBullet"/>
              <w:rPr>
                <w:lang w:val="en-NZ"/>
              </w:rPr>
            </w:pPr>
            <w:r w:rsidRPr="00F84E92">
              <w:t>maintain and expand knowledge of staging services.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ListBullet"/>
              <w:rPr>
                <w:lang w:val="en-NZ"/>
              </w:rPr>
            </w:pPr>
            <w:r w:rsidRPr="00F84E92">
              <w:t>integrate potentially competing operational and management requirements.</w:t>
            </w:r>
          </w:p>
        </w:tc>
      </w:tr>
      <w:tr w:rsidTr="00FD10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2">
            <w:pPr>
              <w:pStyle w:val="BodyText"/>
              <w:rPr>
                <w:lang w:val="en-NZ"/>
              </w:rPr>
            </w:pPr>
            <w:r w:rsidRPr="00F84E92">
              <w:t>Self-management skills</w:t>
            </w:r>
            <w:r w:rsidRPr="00F84E92">
              <w:t xml:space="preserve">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2" w:rsidP="00F84E92">
            <w:pPr>
              <w:pStyle w:val="ListBullet"/>
            </w:pPr>
            <w:r w:rsidRPr="00F84E92">
              <w:t>take responsibility for the complete process of organising event staging and contractor management.</w:t>
            </w:r>
          </w:p>
        </w:tc>
      </w:tr>
    </w:tbl>
    <w:p w:rsidR="00000000" w:rsidRPr="00F84E92" w:rsidP="00F84E92">
      <w:pPr>
        <w:pStyle w:val="BodyText"/>
      </w:pPr>
    </w:p>
    <w:p w:rsidR="00000000" w:rsidRPr="00F84E92" w:rsidP="00F84E92">
      <w:pPr>
        <w:pStyle w:val="AllowPageBreak"/>
      </w:pPr>
    </w:p>
    <w:p w:rsidR="00000000" w:rsidRPr="00F84E92" w:rsidP="00F84E92">
      <w:pPr>
        <w:pStyle w:val="Heading1"/>
      </w:pPr>
      <w:bookmarkStart w:id="8" w:name="O_767127"/>
      <w:bookmarkEnd w:id="8"/>
      <w:r w:rsidRPr="00F84E92">
        <w:t>Unit Mapping Information</w:t>
      </w:r>
    </w:p>
    <w:p w:rsidR="00000000" w:rsidRPr="00F84E92" w:rsidP="00FD1040">
      <w:pPr>
        <w:pStyle w:val="BodyText"/>
      </w:pPr>
      <w:r w:rsidRPr="00F84E92">
        <w:t>SITXEVT503 Manage event staging components</w:t>
      </w:r>
    </w:p>
    <w:p w:rsidR="00000000" w:rsidRPr="00F84E92" w:rsidP="00F84E92">
      <w:pPr>
        <w:pStyle w:val="Heading1"/>
      </w:pPr>
      <w:bookmarkStart w:id="9" w:name="O_767134"/>
      <w:bookmarkEnd w:id="9"/>
      <w:r w:rsidRPr="00F84E92">
        <w:t>Links</w:t>
      </w:r>
    </w:p>
    <w:p w:rsidR="00000000" w:rsidRPr="00F84E92" w:rsidP="00FD1040">
      <w:pPr>
        <w:pStyle w:val="BodyText"/>
      </w:pPr>
      <w:r w:rsidRPr="00F84E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F4C6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84E92" w:rsidP="00FD1040">
      <w:pPr>
        <w:pStyle w:val="BodyText"/>
        <w:sectPr w:rsidSect="00F84E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4E92" w:rsidP="00F84E92">
      <w:pPr>
        <w:pStyle w:val="SuperHeading"/>
      </w:pPr>
      <w:r w:rsidRPr="00F84E92">
        <w:t xml:space="preserve">Assessment </w:t>
      </w:r>
      <w:r w:rsidRPr="00F84E92">
        <w:t>Requirements for SITEEVT008 Manage event staging components</w:t>
      </w:r>
    </w:p>
    <w:p w:rsidR="00000000" w:rsidRPr="00F84E92" w:rsidP="00F84E92">
      <w:pPr>
        <w:pStyle w:val="Heading1"/>
      </w:pPr>
      <w:bookmarkStart w:id="10" w:name="O_767129"/>
      <w:bookmarkEnd w:id="10"/>
      <w:r w:rsidRPr="00F84E92">
        <w:t>Modification History</w:t>
      </w:r>
    </w:p>
    <w:p w:rsidR="00000000" w:rsidRPr="00F84E92" w:rsidP="00FD1040">
      <w:pPr>
        <w:pStyle w:val="BodyText"/>
      </w:pPr>
      <w:r w:rsidRPr="00F84E92">
        <w:t>Not applicable.</w:t>
      </w:r>
    </w:p>
    <w:p w:rsidR="00000000" w:rsidRPr="00F84E92" w:rsidP="00F84E92">
      <w:pPr>
        <w:pStyle w:val="Heading1"/>
      </w:pPr>
      <w:bookmarkStart w:id="11" w:name="O_767130"/>
      <w:bookmarkEnd w:id="11"/>
      <w:r w:rsidRPr="00F84E92">
        <w:t>Performance Evidence</w:t>
      </w:r>
    </w:p>
    <w:p w:rsidR="00000000" w:rsidRPr="00F84E92" w:rsidP="00FD1040">
      <w:pPr>
        <w:pStyle w:val="BodyText"/>
      </w:pPr>
      <w:r w:rsidRPr="00F84E92">
        <w:t>Evidence of the ability to complete tasks outlined in elements and performance criteria of this unit in t</w:t>
      </w:r>
      <w:r w:rsidRPr="00F84E92">
        <w:t>he context of the job role, and:</w:t>
      </w:r>
    </w:p>
    <w:p w:rsidR="00000000" w:rsidRPr="00F84E92" w:rsidP="00F84E92">
      <w:pPr>
        <w:pStyle w:val="ListBullet"/>
      </w:pPr>
      <w:r w:rsidRPr="00F84E92">
        <w:t xml:space="preserve">consult with stakeholders to develop staging requirements for at least one type of event listed in the knowledge evidence with multiple operational components </w:t>
      </w:r>
    </w:p>
    <w:p w:rsidR="00000000" w:rsidRPr="00F84E92" w:rsidP="00F84E92">
      <w:pPr>
        <w:pStyle w:val="ListBullet"/>
      </w:pPr>
      <w:r w:rsidRPr="00F84E92">
        <w:t>source and select contractors for the above event to provide s</w:t>
      </w:r>
      <w:r w:rsidRPr="00F84E92">
        <w:t xml:space="preserve">taging components that meet stakeholder and event requirements </w:t>
      </w:r>
    </w:p>
    <w:p w:rsidR="00000000" w:rsidRPr="00F84E92" w:rsidP="00F84E92">
      <w:pPr>
        <w:pStyle w:val="ListBullet"/>
      </w:pPr>
      <w:r w:rsidRPr="00F84E92">
        <w:t>monitor and evaluate event staging components for the above event by:</w:t>
      </w:r>
    </w:p>
    <w:p w:rsidR="00000000" w:rsidRPr="00F84E92" w:rsidP="00F84E92">
      <w:pPr>
        <w:pStyle w:val="ListBullet2"/>
      </w:pPr>
      <w:r w:rsidRPr="00F84E92">
        <w:t>ensuring work is completed against event requirements and schedules</w:t>
      </w:r>
    </w:p>
    <w:p w:rsidR="00000000" w:rsidRPr="00F84E92" w:rsidP="00F84E92">
      <w:pPr>
        <w:pStyle w:val="ListBullet2"/>
      </w:pPr>
      <w:r w:rsidRPr="00F84E92">
        <w:t>confirming staging requirements are delivered as requ</w:t>
      </w:r>
      <w:r w:rsidRPr="00F84E92">
        <w:t>ired</w:t>
      </w:r>
    </w:p>
    <w:p w:rsidR="00000000" w:rsidRPr="00F84E92" w:rsidP="00F84E92">
      <w:pPr>
        <w:pStyle w:val="ListBullet2"/>
      </w:pPr>
      <w:r w:rsidRPr="00F84E92">
        <w:t>obtaining feedback from stakeholders on contractor performance.</w:t>
      </w:r>
    </w:p>
    <w:p w:rsidR="00000000" w:rsidRPr="00F84E92" w:rsidP="00F84E92">
      <w:pPr>
        <w:pStyle w:val="AllowPageBreak"/>
      </w:pPr>
    </w:p>
    <w:p w:rsidR="00000000" w:rsidRPr="00F84E92" w:rsidP="00F84E92">
      <w:pPr>
        <w:pStyle w:val="Heading1"/>
      </w:pPr>
      <w:bookmarkStart w:id="12" w:name="O_767131"/>
      <w:bookmarkEnd w:id="12"/>
      <w:r w:rsidRPr="00F84E92">
        <w:t>Knowledge Evidence</w:t>
      </w:r>
    </w:p>
    <w:p w:rsidR="00000000" w:rsidRPr="00F84E92" w:rsidP="00FD1040">
      <w:pPr>
        <w:pStyle w:val="BodyText"/>
      </w:pPr>
      <w:r w:rsidRPr="00F84E92">
        <w:t>Demonstrated knowledge required to complete the tasks outlined in elements and performance criteria of this unit:</w:t>
      </w:r>
    </w:p>
    <w:p w:rsidR="00000000" w:rsidRPr="00F84E92" w:rsidP="00F84E92">
      <w:pPr>
        <w:pStyle w:val="ListBullet"/>
      </w:pPr>
      <w:r w:rsidRPr="00F84E92">
        <w:t>types of events:</w:t>
      </w:r>
    </w:p>
    <w:p w:rsidR="00000000" w:rsidRPr="00F84E92" w:rsidP="00F84E92">
      <w:pPr>
        <w:pStyle w:val="ListBullet2"/>
      </w:pPr>
      <w:r w:rsidRPr="00F84E92">
        <w:t>business and corporate</w:t>
      </w:r>
    </w:p>
    <w:p w:rsidR="00000000" w:rsidRPr="00F84E92" w:rsidP="00F84E92">
      <w:pPr>
        <w:pStyle w:val="ListBullet2"/>
      </w:pPr>
      <w:r w:rsidRPr="00F84E92">
        <w:t>entertainment and leisure</w:t>
      </w:r>
    </w:p>
    <w:p w:rsidR="00000000" w:rsidRPr="00F84E92" w:rsidP="00F84E92">
      <w:pPr>
        <w:pStyle w:val="ListBullet2"/>
      </w:pPr>
      <w:r w:rsidRPr="00F84E92">
        <w:t>exhibitions, expositions and fairs</w:t>
      </w:r>
    </w:p>
    <w:p w:rsidR="00000000" w:rsidRPr="00F84E92" w:rsidP="00F84E92">
      <w:pPr>
        <w:pStyle w:val="ListBullet2"/>
      </w:pPr>
      <w:r w:rsidRPr="00F84E92">
        <w:t>festivals</w:t>
      </w:r>
    </w:p>
    <w:p w:rsidR="00000000" w:rsidRPr="00F84E92" w:rsidP="00F84E92">
      <w:pPr>
        <w:pStyle w:val="ListBullet2"/>
      </w:pPr>
      <w:r w:rsidRPr="00F84E92">
        <w:t>fundraising</w:t>
      </w:r>
    </w:p>
    <w:p w:rsidR="00000000" w:rsidRPr="00F84E92" w:rsidP="00F84E92">
      <w:pPr>
        <w:pStyle w:val="ListBullet2"/>
      </w:pPr>
      <w:r w:rsidRPr="00F84E92">
        <w:t>government and civic</w:t>
      </w:r>
    </w:p>
    <w:p w:rsidR="00000000" w:rsidRPr="00F84E92" w:rsidP="00F84E92">
      <w:pPr>
        <w:pStyle w:val="ListBullet2"/>
      </w:pPr>
      <w:r w:rsidRPr="00F84E92">
        <w:t>meetings and conventions</w:t>
      </w:r>
    </w:p>
    <w:p w:rsidR="00000000" w:rsidRPr="00F84E92" w:rsidP="00F84E92">
      <w:pPr>
        <w:pStyle w:val="ListBullet2"/>
      </w:pPr>
      <w:r w:rsidRPr="00F84E92">
        <w:t>social</w:t>
      </w:r>
    </w:p>
    <w:p w:rsidR="00000000" w:rsidRPr="00F84E92" w:rsidP="00F84E92">
      <w:pPr>
        <w:pStyle w:val="ListBullet2"/>
      </w:pPr>
      <w:r w:rsidRPr="00F84E92">
        <w:t>sports</w:t>
      </w:r>
    </w:p>
    <w:p w:rsidR="00000000" w:rsidRPr="00F84E92" w:rsidP="00F84E92">
      <w:pPr>
        <w:pStyle w:val="ListBullet"/>
      </w:pPr>
      <w:r w:rsidRPr="00F84E92">
        <w:t>roles and responsibilities of organisations involved in event staging</w:t>
      </w:r>
    </w:p>
    <w:p w:rsidR="00000000" w:rsidRPr="00F84E92" w:rsidP="00F84E92">
      <w:pPr>
        <w:pStyle w:val="ListBullet"/>
      </w:pPr>
      <w:r w:rsidRPr="00F84E92">
        <w:t xml:space="preserve">suppliers of staging products and services </w:t>
      </w:r>
    </w:p>
    <w:p w:rsidR="00000000" w:rsidRPr="00F84E92" w:rsidP="00F84E92">
      <w:pPr>
        <w:pStyle w:val="ListBullet"/>
      </w:pPr>
      <w:r w:rsidRPr="00F84E92">
        <w:t>sources of information on staging services and products</w:t>
      </w:r>
    </w:p>
    <w:p w:rsidR="00000000" w:rsidRPr="00F84E92" w:rsidP="00F84E92">
      <w:pPr>
        <w:pStyle w:val="ListBullet"/>
      </w:pPr>
      <w:r w:rsidRPr="00F84E92">
        <w:t>product and service terminology, features and options, current technology and risk considerations in these key areas of staging:</w:t>
      </w:r>
    </w:p>
    <w:p w:rsidR="00000000" w:rsidRPr="00F84E92" w:rsidP="00F84E92">
      <w:pPr>
        <w:pStyle w:val="ListBullet2"/>
      </w:pPr>
      <w:r w:rsidRPr="00F84E92">
        <w:t>catering</w:t>
      </w:r>
    </w:p>
    <w:p w:rsidR="00000000" w:rsidRPr="00F84E92" w:rsidP="00F84E92">
      <w:pPr>
        <w:pStyle w:val="ListBullet2"/>
      </w:pPr>
      <w:r w:rsidRPr="00F84E92">
        <w:t xml:space="preserve">displays, stands </w:t>
      </w:r>
      <w:r w:rsidRPr="00F84E92">
        <w:t>and signage</w:t>
      </w:r>
    </w:p>
    <w:p w:rsidR="00000000" w:rsidRPr="00F84E92" w:rsidP="00F84E92">
      <w:pPr>
        <w:pStyle w:val="ListBullet2"/>
      </w:pPr>
      <w:r w:rsidRPr="00F84E92">
        <w:t>exhibitor services</w:t>
      </w:r>
    </w:p>
    <w:p w:rsidR="00000000" w:rsidRPr="00F84E92" w:rsidP="00F84E92">
      <w:pPr>
        <w:pStyle w:val="ListBullet2"/>
      </w:pPr>
      <w:r w:rsidRPr="00F84E92">
        <w:t>security</w:t>
      </w:r>
    </w:p>
    <w:p w:rsidR="00000000" w:rsidRPr="00F84E92" w:rsidP="00F84E92">
      <w:pPr>
        <w:pStyle w:val="ListBullet2"/>
      </w:pPr>
      <w:r w:rsidRPr="00F84E92">
        <w:t>talent</w:t>
      </w:r>
    </w:p>
    <w:p w:rsidR="00000000" w:rsidRPr="00F84E92" w:rsidP="00F84E92">
      <w:pPr>
        <w:pStyle w:val="ListBullet2"/>
      </w:pPr>
      <w:r w:rsidRPr="00F84E92">
        <w:t>technical equipment and services:</w:t>
      </w:r>
    </w:p>
    <w:p w:rsidR="00000000" w:rsidRPr="00F84E92" w:rsidP="00F84E92">
      <w:pPr>
        <w:pStyle w:val="ListBullet3"/>
      </w:pPr>
      <w:r w:rsidRPr="00F84E92">
        <w:t>audiovisual</w:t>
      </w:r>
    </w:p>
    <w:p w:rsidR="00000000" w:rsidRPr="00F84E92" w:rsidP="00F84E92">
      <w:pPr>
        <w:pStyle w:val="ListBullet3"/>
      </w:pPr>
      <w:r w:rsidRPr="00F84E92">
        <w:t>lighting</w:t>
      </w:r>
    </w:p>
    <w:p w:rsidR="00000000" w:rsidRPr="00F84E92" w:rsidP="00F84E92">
      <w:pPr>
        <w:pStyle w:val="ListBullet3"/>
      </w:pPr>
      <w:r w:rsidRPr="00F84E92">
        <w:t>sets</w:t>
      </w:r>
    </w:p>
    <w:p w:rsidR="00000000" w:rsidRPr="00F84E92" w:rsidP="00F84E92">
      <w:pPr>
        <w:pStyle w:val="ListBullet3"/>
      </w:pPr>
      <w:r w:rsidRPr="00F84E92">
        <w:t>sound</w:t>
      </w:r>
    </w:p>
    <w:p w:rsidR="00000000" w:rsidRPr="00F84E92" w:rsidP="00F84E92">
      <w:pPr>
        <w:pStyle w:val="ListBullet3"/>
      </w:pPr>
      <w:r w:rsidRPr="00F84E92">
        <w:t>stage design</w:t>
      </w:r>
    </w:p>
    <w:p w:rsidR="00000000" w:rsidRPr="00F84E92" w:rsidP="00F84E92">
      <w:pPr>
        <w:pStyle w:val="ListBullet3"/>
      </w:pPr>
      <w:r w:rsidRPr="00F84E92">
        <w:t>rigging</w:t>
      </w:r>
    </w:p>
    <w:p w:rsidR="00000000" w:rsidRPr="00F84E92" w:rsidP="00F84E92">
      <w:pPr>
        <w:pStyle w:val="ListBullet3"/>
      </w:pPr>
      <w:r w:rsidRPr="00F84E92">
        <w:t>special effects</w:t>
      </w:r>
    </w:p>
    <w:p w:rsidR="00000000" w:rsidRPr="00F84E92" w:rsidP="00F84E92">
      <w:pPr>
        <w:pStyle w:val="ListBullet2"/>
      </w:pPr>
      <w:r w:rsidRPr="00F84E92">
        <w:t xml:space="preserve">venue or site requirements </w:t>
      </w:r>
    </w:p>
    <w:p w:rsidR="00000000" w:rsidRPr="00F84E92" w:rsidP="00F84E92">
      <w:pPr>
        <w:pStyle w:val="ListBullet2"/>
      </w:pPr>
      <w:r w:rsidRPr="00F84E92">
        <w:t>venue layout and styling</w:t>
      </w:r>
    </w:p>
    <w:p w:rsidR="00000000" w:rsidRPr="00F84E92" w:rsidP="00F84E92">
      <w:pPr>
        <w:pStyle w:val="ListBullet"/>
      </w:pPr>
      <w:r w:rsidRPr="00F84E92">
        <w:t>regulatory considerations for organising event staging:</w:t>
      </w:r>
    </w:p>
    <w:p w:rsidR="00000000" w:rsidRPr="00F84E92" w:rsidP="00F84E92">
      <w:pPr>
        <w:pStyle w:val="ListBullet2"/>
      </w:pPr>
      <w:r w:rsidRPr="00F84E92">
        <w:t>contractor licensing</w:t>
      </w:r>
    </w:p>
    <w:p w:rsidR="00000000" w:rsidRPr="00F84E92" w:rsidP="00F84E92">
      <w:pPr>
        <w:pStyle w:val="ListBullet2"/>
      </w:pPr>
      <w:r w:rsidRPr="00F84E92">
        <w:t>food safety</w:t>
      </w:r>
    </w:p>
    <w:p w:rsidR="00000000" w:rsidRPr="00F84E92" w:rsidP="00F84E92">
      <w:pPr>
        <w:pStyle w:val="ListBullet2"/>
      </w:pPr>
      <w:r w:rsidRPr="00F84E92">
        <w:t>liquor licensing</w:t>
      </w:r>
    </w:p>
    <w:p w:rsidR="00000000" w:rsidRPr="00F84E92" w:rsidP="00F84E92">
      <w:pPr>
        <w:pStyle w:val="ListBullet2"/>
      </w:pPr>
      <w:r w:rsidRPr="00F84E92">
        <w:t>local government authorities</w:t>
      </w:r>
    </w:p>
    <w:p w:rsidR="00000000" w:rsidRPr="00F84E92" w:rsidP="00F84E92">
      <w:pPr>
        <w:pStyle w:val="ListBullet"/>
      </w:pPr>
      <w:r w:rsidRPr="00F84E92">
        <w:t>factors affecting staging specifications:</w:t>
      </w:r>
    </w:p>
    <w:p w:rsidR="00000000" w:rsidRPr="00F84E92" w:rsidP="00F84E92">
      <w:pPr>
        <w:pStyle w:val="ListBullet2"/>
      </w:pPr>
      <w:r w:rsidRPr="00F84E92">
        <w:t>performance standards</w:t>
      </w:r>
    </w:p>
    <w:p w:rsidR="00000000" w:rsidRPr="00F84E92" w:rsidP="00F84E92">
      <w:pPr>
        <w:pStyle w:val="ListBullet2"/>
      </w:pPr>
      <w:r w:rsidRPr="00F84E92">
        <w:t>price</w:t>
      </w:r>
    </w:p>
    <w:p w:rsidR="00000000" w:rsidRPr="00F84E92" w:rsidP="00F84E92">
      <w:pPr>
        <w:pStyle w:val="ListBullet2"/>
      </w:pPr>
      <w:r w:rsidRPr="00F84E92">
        <w:t xml:space="preserve">technical specifications </w:t>
      </w:r>
    </w:p>
    <w:p w:rsidR="00000000" w:rsidRPr="00F84E92" w:rsidP="00F84E92">
      <w:pPr>
        <w:pStyle w:val="ListBullet2"/>
      </w:pPr>
      <w:r w:rsidRPr="00F84E92">
        <w:t>theme</w:t>
      </w:r>
      <w:r w:rsidRPr="00F84E92">
        <w:noBreakHyphen/>
      </w:r>
      <w:r w:rsidRPr="00F84E92">
        <w:t>related requirements</w:t>
      </w:r>
    </w:p>
    <w:p w:rsidR="00000000" w:rsidRPr="00F84E92" w:rsidP="00F84E92">
      <w:pPr>
        <w:pStyle w:val="ListBullet2"/>
      </w:pPr>
      <w:r w:rsidRPr="00F84E92">
        <w:t>timelines</w:t>
      </w:r>
    </w:p>
    <w:p w:rsidR="00000000" w:rsidRPr="00F84E92" w:rsidP="00F84E92">
      <w:pPr>
        <w:pStyle w:val="ListBullet2"/>
      </w:pPr>
      <w:r w:rsidRPr="00F84E92">
        <w:t>regulatory requirements</w:t>
      </w:r>
    </w:p>
    <w:p w:rsidR="00000000" w:rsidRPr="00F84E92" w:rsidP="00F84E92">
      <w:pPr>
        <w:pStyle w:val="ListBullet"/>
      </w:pPr>
      <w:r w:rsidRPr="00F84E92">
        <w:t>requirements for contractor briefing and specification documents.</w:t>
      </w:r>
    </w:p>
    <w:p w:rsidR="00000000" w:rsidRPr="00F84E92" w:rsidP="00F84E92">
      <w:pPr>
        <w:pStyle w:val="AllowPageBreak"/>
      </w:pPr>
    </w:p>
    <w:p w:rsidR="00000000" w:rsidRPr="00F84E92" w:rsidP="00F84E92">
      <w:pPr>
        <w:pStyle w:val="Heading1"/>
      </w:pPr>
      <w:bookmarkStart w:id="13" w:name="O_767132"/>
      <w:bookmarkEnd w:id="13"/>
      <w:r w:rsidRPr="00F84E92">
        <w:t>Assessment Conditions</w:t>
      </w:r>
    </w:p>
    <w:p w:rsidR="00000000" w:rsidRPr="00F84E92" w:rsidP="00FD1040">
      <w:pPr>
        <w:pStyle w:val="BodyText"/>
      </w:pPr>
      <w:r w:rsidRPr="00F84E92">
        <w:t>Skills must be demonstrated in an operational events context where selection of event staging is required. This can be:</w:t>
      </w:r>
    </w:p>
    <w:p w:rsidR="00000000" w:rsidRPr="00F84E92" w:rsidP="00F84E92">
      <w:pPr>
        <w:pStyle w:val="ListBullet"/>
      </w:pPr>
      <w:r w:rsidRPr="00F84E92">
        <w:t>a live event</w:t>
      </w:r>
    </w:p>
    <w:p w:rsidR="00000000" w:rsidRPr="00F84E92" w:rsidP="00F84E92">
      <w:pPr>
        <w:pStyle w:val="ListBullet"/>
      </w:pPr>
      <w:r w:rsidRPr="00F84E92">
        <w:t xml:space="preserve">a simulated event set up for the purpose of skills assessment. </w:t>
      </w:r>
    </w:p>
    <w:p w:rsidR="00000000" w:rsidRPr="00F84E92" w:rsidP="00F84E92">
      <w:pPr>
        <w:pStyle w:val="BodyText"/>
      </w:pPr>
    </w:p>
    <w:p w:rsidR="00000000" w:rsidRPr="00F84E92" w:rsidP="00FD1040">
      <w:pPr>
        <w:pStyle w:val="BodyText"/>
      </w:pPr>
      <w:r w:rsidRPr="00F84E92">
        <w:t>Assessment must ensure access to:</w:t>
      </w:r>
    </w:p>
    <w:p w:rsidR="00000000" w:rsidRPr="00F84E92" w:rsidP="00F84E92">
      <w:pPr>
        <w:pStyle w:val="ListBullet"/>
      </w:pPr>
      <w:r w:rsidRPr="00F84E92">
        <w:t>venues and sites where</w:t>
      </w:r>
      <w:r w:rsidRPr="00F84E92">
        <w:t xml:space="preserve"> events are operated </w:t>
      </w:r>
    </w:p>
    <w:p w:rsidR="00000000" w:rsidRPr="00F84E92" w:rsidP="00F84E92">
      <w:pPr>
        <w:pStyle w:val="ListBullet"/>
      </w:pPr>
      <w:r w:rsidRPr="00F84E92">
        <w:t xml:space="preserve">dedicated event budgets </w:t>
      </w:r>
    </w:p>
    <w:p w:rsidR="00000000" w:rsidRPr="00F84E92" w:rsidP="00F84E92">
      <w:pPr>
        <w:pStyle w:val="ListBullet"/>
      </w:pPr>
      <w:r w:rsidRPr="00F84E92">
        <w:t>comprehensive event plans</w:t>
      </w:r>
    </w:p>
    <w:p w:rsidR="00000000" w:rsidRPr="00F84E92" w:rsidP="00F84E92">
      <w:pPr>
        <w:pStyle w:val="ListBullet"/>
      </w:pPr>
      <w:r w:rsidRPr="00F84E92">
        <w:t>formal communications plans</w:t>
      </w:r>
    </w:p>
    <w:p w:rsidR="00000000" w:rsidRPr="00F84E92" w:rsidP="00F84E92">
      <w:pPr>
        <w:pStyle w:val="ListBullet"/>
      </w:pPr>
      <w:r w:rsidRPr="00F84E92">
        <w:t>current industry documentation and publications relating to staging products and services</w:t>
      </w:r>
    </w:p>
    <w:p w:rsidR="00000000" w:rsidRPr="00F84E92" w:rsidP="00F84E92">
      <w:pPr>
        <w:pStyle w:val="ListBullet"/>
      </w:pPr>
      <w:r w:rsidRPr="00F84E92">
        <w:t>interaction with contractors to select and manage event staging r</w:t>
      </w:r>
      <w:r w:rsidRPr="00F84E92">
        <w:t>equirements</w:t>
      </w:r>
    </w:p>
    <w:p w:rsidR="00000000" w:rsidRPr="00F84E92" w:rsidP="00F84E92">
      <w:pPr>
        <w:pStyle w:val="ListBullet"/>
      </w:pPr>
      <w:r w:rsidRPr="00F84E92">
        <w:t>stakeholders, for whom the event is organised; these can be:</w:t>
      </w:r>
    </w:p>
    <w:p w:rsidR="00000000" w:rsidRPr="00F84E92" w:rsidP="00F84E92">
      <w:pPr>
        <w:pStyle w:val="ListBullet2"/>
      </w:pPr>
      <w:r w:rsidRPr="00F84E92">
        <w:t>those in an industry workplace who are assisted by the individual during the assessment process; or</w:t>
      </w:r>
    </w:p>
    <w:p w:rsidR="00000000" w:rsidRPr="00F84E92" w:rsidP="00F84E92">
      <w:pPr>
        <w:pStyle w:val="ListBullet2"/>
      </w:pPr>
      <w:r w:rsidRPr="00F84E92">
        <w:t>individuals who participate in role plays or simulated activities, set up for the purpose of assessment, in a simulated industry environment operated within a training organisation.</w:t>
      </w:r>
    </w:p>
    <w:p w:rsidR="00000000" w:rsidRPr="00F84E92" w:rsidP="00F84E92">
      <w:pPr>
        <w:pStyle w:val="BodyText"/>
      </w:pPr>
    </w:p>
    <w:p w:rsidR="00000000" w:rsidRPr="00F84E92" w:rsidP="00FD1040">
      <w:pPr>
        <w:pStyle w:val="BodyText"/>
      </w:pPr>
      <w:r w:rsidRPr="00F84E92">
        <w:t>Assessors must satisfy the Standards for Registered Training Organisation</w:t>
      </w:r>
      <w:r w:rsidRPr="00F84E92">
        <w:t>s’ requirements for assessors; and:</w:t>
      </w:r>
    </w:p>
    <w:p w:rsidR="00000000" w:rsidRPr="00F84E92" w:rsidP="00F84E92">
      <w:pPr>
        <w:pStyle w:val="ListBullet"/>
      </w:pPr>
      <w:r w:rsidRPr="00F84E92">
        <w:t>have worked in industry for at least three years where they have applied the skills and knowledge of this unit of competency.</w:t>
      </w:r>
    </w:p>
    <w:p w:rsidR="00000000" w:rsidRPr="00F84E92" w:rsidP="00F84E92">
      <w:pPr>
        <w:pStyle w:val="AllowPageBreak"/>
      </w:pPr>
    </w:p>
    <w:p w:rsidR="00000000" w:rsidRPr="00F84E92" w:rsidP="00F84E92">
      <w:pPr>
        <w:pStyle w:val="Heading1"/>
      </w:pPr>
      <w:bookmarkStart w:id="14" w:name="O_767135"/>
      <w:bookmarkEnd w:id="14"/>
      <w:r w:rsidRPr="00F84E92">
        <w:t>Links</w:t>
      </w:r>
    </w:p>
    <w:p w:rsidR="00000000" w:rsidRPr="00F84E92" w:rsidP="00FD1040">
      <w:pPr>
        <w:pStyle w:val="BodyText"/>
      </w:pPr>
      <w:r w:rsidRPr="00F84E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F4C6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84E92" w:rsidP="00F84E92"/>
    <w:sectPr w:rsidSect="00F84E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 w:rsidRPr="00FD1040" w:rsidP="00FD1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40" w:rsidP="00F84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D1040" w:rsidP="00F84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D1040" w:rsidP="00F84E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 w:rsidP="00F84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1040">
      <w:t>Approved</w:t>
    </w:r>
    <w:r w:rsidR="00FD10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104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1040">
      <w:rPr>
        <w:noProof/>
      </w:rPr>
      <w:t>6</w:t>
    </w:r>
    <w:r>
      <w:rPr>
        <w:noProof/>
      </w:rPr>
      <w:fldChar w:fldCharType="end"/>
    </w:r>
  </w:p>
  <w:p w:rsidR="00F84E92" w:rsidP="00F84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10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1040">
      <w:t>Service and Creative Skills Australia</w:t>
    </w:r>
    <w:r w:rsidR="00FD1040">
      <w:fldChar w:fldCharType="end"/>
    </w:r>
  </w:p>
  <w:p w:rsidR="00F84E92" w:rsidP="00F84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E92" w:rsidRPr="00FD1040" w:rsidP="00FD1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40" w:rsidRPr="002D2AF8" w:rsidP="00F84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SITEEVT008 Manage event staging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1040" w:rsidP="00F84E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 w:rsidRPr="002D2AF8" w:rsidP="00F84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1040">
      <w:t>SITEEVT008 Manage event staging components</w:t>
    </w:r>
    <w:r w:rsidR="00FD10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1040">
      <w:rPr>
        <w:noProof/>
      </w:rPr>
      <w:t>1 March 2025</w:t>
    </w:r>
    <w:r>
      <w:fldChar w:fldCharType="end"/>
    </w:r>
  </w:p>
  <w:p w:rsidR="00F84E92" w:rsidP="00F84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1E4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8E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6C7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E92"/>
  </w:style>
  <w:style w:type="character" w:customStyle="1" w:styleId="Heading1Char">
    <w:name w:val="Heading 1 Char"/>
    <w:basedOn w:val="DefaultParagraphFont"/>
    <w:link w:val="Heading1"/>
    <w:rsid w:val="00F84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E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4E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4E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E92"/>
    <w:rPr>
      <w:b/>
      <w:spacing w:val="0"/>
    </w:rPr>
  </w:style>
  <w:style w:type="paragraph" w:styleId="ListBullet2">
    <w:name w:val="List Bullet 2"/>
    <w:basedOn w:val="List2"/>
    <w:rsid w:val="00F84E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4E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4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E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4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E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E92"/>
    <w:rPr>
      <w:i/>
    </w:rPr>
  </w:style>
  <w:style w:type="paragraph" w:styleId="Caption">
    <w:name w:val="caption"/>
    <w:basedOn w:val="BodyText"/>
    <w:next w:val="Normal"/>
    <w:qFormat/>
    <w:rsid w:val="00F84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E92"/>
  </w:style>
  <w:style w:type="paragraph" w:styleId="TableofFigures">
    <w:name w:val="table of figures"/>
    <w:basedOn w:val="Normal"/>
    <w:next w:val="Normal"/>
    <w:semiHidden/>
    <w:rsid w:val="00F84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E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4E92"/>
    <w:rPr>
      <w:rFonts w:ascii="Wingdings" w:hAnsi="Wingdings"/>
    </w:rPr>
  </w:style>
  <w:style w:type="paragraph" w:customStyle="1" w:styleId="TableHeading">
    <w:name w:val="Table Heading"/>
    <w:basedOn w:val="HeadingBase"/>
    <w:rsid w:val="00F84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E92"/>
    <w:rPr>
      <w:color w:val="0033CC"/>
      <w:u w:val="none"/>
    </w:rPr>
  </w:style>
  <w:style w:type="paragraph" w:customStyle="1" w:styleId="BodyTextRight">
    <w:name w:val="Body Text Right"/>
    <w:basedOn w:val="BodyText"/>
    <w:rsid w:val="00F84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E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E92"/>
    <w:rPr>
      <w:sz w:val="32"/>
    </w:rPr>
  </w:style>
  <w:style w:type="paragraph" w:customStyle="1" w:styleId="HeadingProcedure">
    <w:name w:val="Heading Procedure"/>
    <w:basedOn w:val="HeadingBase"/>
    <w:next w:val="Normal"/>
    <w:rsid w:val="00F84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E92"/>
    <w:pPr>
      <w:spacing w:before="60" w:after="60"/>
    </w:pPr>
  </w:style>
  <w:style w:type="paragraph" w:styleId="ListContinue">
    <w:name w:val="List Continue"/>
    <w:basedOn w:val="List"/>
    <w:rsid w:val="00F84E92"/>
    <w:pPr>
      <w:ind w:firstLine="0"/>
    </w:pPr>
  </w:style>
  <w:style w:type="paragraph" w:customStyle="1" w:styleId="ListNote">
    <w:name w:val="List Note"/>
    <w:basedOn w:val="List"/>
    <w:rsid w:val="00F84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E92"/>
    <w:rPr>
      <w:rFonts w:ascii="Courier New" w:hAnsi="Courier New"/>
    </w:rPr>
  </w:style>
  <w:style w:type="paragraph" w:customStyle="1" w:styleId="NoteBullet">
    <w:name w:val="Note Bullet"/>
    <w:basedOn w:val="Note"/>
    <w:rsid w:val="00F84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E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4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E92"/>
    <w:rPr>
      <w:b/>
      <w:smallCaps/>
    </w:rPr>
  </w:style>
  <w:style w:type="paragraph" w:customStyle="1" w:styleId="TableListNumber">
    <w:name w:val="Table List Number"/>
    <w:basedOn w:val="ListNumber"/>
    <w:rsid w:val="00F84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E92"/>
    <w:pPr>
      <w:numPr>
        <w:numId w:val="10"/>
      </w:numPr>
    </w:pPr>
  </w:style>
  <w:style w:type="paragraph" w:customStyle="1" w:styleId="ListAlpha2">
    <w:name w:val="List Alpha 2"/>
    <w:basedOn w:val="List2"/>
    <w:rsid w:val="00F84E92"/>
    <w:pPr>
      <w:numPr>
        <w:numId w:val="9"/>
      </w:numPr>
    </w:pPr>
  </w:style>
  <w:style w:type="paragraph" w:styleId="List2">
    <w:name w:val="List 2"/>
    <w:basedOn w:val="BodyText"/>
    <w:rsid w:val="00F84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E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4E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4E92"/>
    <w:pPr>
      <w:numPr>
        <w:numId w:val="5"/>
      </w:numPr>
    </w:pPr>
  </w:style>
  <w:style w:type="paragraph" w:styleId="ListContinue2">
    <w:name w:val="List Continue 2"/>
    <w:basedOn w:val="List2"/>
    <w:rsid w:val="00F84E92"/>
    <w:pPr>
      <w:ind w:firstLine="0"/>
    </w:pPr>
  </w:style>
  <w:style w:type="paragraph" w:styleId="ListContinue3">
    <w:name w:val="List Continue 3"/>
    <w:basedOn w:val="List3"/>
    <w:rsid w:val="00F84E92"/>
    <w:pPr>
      <w:ind w:left="1021" w:firstLine="0"/>
    </w:pPr>
  </w:style>
  <w:style w:type="paragraph" w:styleId="ListContinue4">
    <w:name w:val="List Continue 4"/>
    <w:basedOn w:val="List4"/>
    <w:rsid w:val="00F84E92"/>
    <w:pPr>
      <w:ind w:firstLine="0"/>
    </w:pPr>
  </w:style>
  <w:style w:type="paragraph" w:styleId="ListContinue5">
    <w:name w:val="List Continue 5"/>
    <w:basedOn w:val="List5"/>
    <w:rsid w:val="00F84E92"/>
    <w:pPr>
      <w:ind w:firstLine="0"/>
    </w:pPr>
  </w:style>
  <w:style w:type="paragraph" w:styleId="ListNumber3">
    <w:name w:val="List Number 3"/>
    <w:basedOn w:val="List3"/>
    <w:rsid w:val="00F84E92"/>
    <w:pPr>
      <w:numPr>
        <w:numId w:val="6"/>
      </w:numPr>
    </w:pPr>
  </w:style>
  <w:style w:type="paragraph" w:styleId="ListNumber4">
    <w:name w:val="List Number 4"/>
    <w:basedOn w:val="List4"/>
    <w:rsid w:val="00F84E92"/>
    <w:pPr>
      <w:numPr>
        <w:numId w:val="7"/>
      </w:numPr>
    </w:pPr>
  </w:style>
  <w:style w:type="paragraph" w:styleId="ListNumber5">
    <w:name w:val="List Number 5"/>
    <w:basedOn w:val="List5"/>
    <w:rsid w:val="00F84E92"/>
    <w:pPr>
      <w:numPr>
        <w:numId w:val="8"/>
      </w:numPr>
    </w:pPr>
  </w:style>
  <w:style w:type="paragraph" w:styleId="BlockText">
    <w:name w:val="Block Text"/>
    <w:basedOn w:val="Normal"/>
    <w:rsid w:val="00F84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E92"/>
    <w:rPr>
      <w:sz w:val="16"/>
      <w:vertAlign w:val="superscript"/>
    </w:rPr>
  </w:style>
  <w:style w:type="character" w:customStyle="1" w:styleId="Symbols">
    <w:name w:val="Symbols"/>
    <w:basedOn w:val="DefaultParagraphFont"/>
    <w:rsid w:val="00F84E92"/>
    <w:rPr>
      <w:rFonts w:ascii="Symbol" w:hAnsi="Symbol"/>
    </w:rPr>
  </w:style>
  <w:style w:type="character" w:customStyle="1" w:styleId="MenuOptions">
    <w:name w:val="Menu Options"/>
    <w:basedOn w:val="DefaultParagraphFont"/>
    <w:rsid w:val="00F84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E92"/>
    <w:rPr>
      <w:b/>
    </w:rPr>
  </w:style>
  <w:style w:type="character" w:customStyle="1" w:styleId="Underlined">
    <w:name w:val="Underlined"/>
    <w:basedOn w:val="DefaultParagraphFont"/>
    <w:rsid w:val="00F84E92"/>
    <w:rPr>
      <w:u w:val="single"/>
    </w:rPr>
  </w:style>
  <w:style w:type="paragraph" w:customStyle="1" w:styleId="TableBodyTextRight">
    <w:name w:val="Table Body Text Right"/>
    <w:basedOn w:val="TableBodyText"/>
    <w:rsid w:val="00F84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E92"/>
    <w:rPr>
      <w:sz w:val="18"/>
    </w:rPr>
  </w:style>
  <w:style w:type="paragraph" w:customStyle="1" w:styleId="BodySmallRight">
    <w:name w:val="Body Small Right"/>
    <w:basedOn w:val="BodyTextRight"/>
    <w:rsid w:val="00F84E92"/>
    <w:rPr>
      <w:sz w:val="18"/>
      <w:szCs w:val="18"/>
    </w:rPr>
  </w:style>
  <w:style w:type="paragraph" w:customStyle="1" w:styleId="MarginEdition">
    <w:name w:val="Margin Edition"/>
    <w:basedOn w:val="MarginNote"/>
    <w:rsid w:val="00F84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E92"/>
    <w:rPr>
      <w:sz w:val="2"/>
      <w:szCs w:val="2"/>
    </w:rPr>
  </w:style>
  <w:style w:type="character" w:customStyle="1" w:styleId="Small">
    <w:name w:val="Small"/>
    <w:basedOn w:val="DefaultParagraphFont"/>
    <w:rsid w:val="00F84E92"/>
    <w:rPr>
      <w:sz w:val="16"/>
    </w:rPr>
  </w:style>
  <w:style w:type="paragraph" w:customStyle="1" w:styleId="WideTable">
    <w:name w:val="Wide Table"/>
    <w:basedOn w:val="Normal"/>
    <w:rsid w:val="00F84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E92"/>
  </w:style>
  <w:style w:type="paragraph" w:styleId="Quote">
    <w:name w:val="Quote"/>
    <w:basedOn w:val="Heading1"/>
    <w:link w:val="QuoteChar"/>
    <w:qFormat/>
    <w:rsid w:val="00F84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E92"/>
    <w:pPr>
      <w:pageBreakBefore/>
    </w:pPr>
  </w:style>
  <w:style w:type="paragraph" w:customStyle="1" w:styleId="Border">
    <w:name w:val="Border"/>
    <w:basedOn w:val="Normal"/>
    <w:qFormat/>
    <w:rsid w:val="00F84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E92"/>
    <w:rPr>
      <w:u w:val="single"/>
    </w:rPr>
  </w:style>
  <w:style w:type="character" w:customStyle="1" w:styleId="BoldandItalics">
    <w:name w:val="Bold and Italics"/>
    <w:qFormat/>
    <w:rsid w:val="00F84E92"/>
    <w:rPr>
      <w:b/>
      <w:i/>
      <w:u w:val="none"/>
    </w:rPr>
  </w:style>
  <w:style w:type="paragraph" w:styleId="BalloonText">
    <w:name w:val="Balloon Text"/>
    <w:basedOn w:val="Normal"/>
    <w:link w:val="BalloonTextChar"/>
    <w:rsid w:val="00F84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E92"/>
    <w:pPr>
      <w:spacing w:before="0" w:after="0"/>
    </w:pPr>
  </w:style>
  <w:style w:type="paragraph" w:customStyle="1" w:styleId="BodyTextBold">
    <w:name w:val="Body Text Bold"/>
    <w:basedOn w:val="BodyText"/>
    <w:qFormat/>
    <w:rsid w:val="00F84E92"/>
    <w:rPr>
      <w:b/>
    </w:rPr>
  </w:style>
  <w:style w:type="character" w:styleId="Hyperlink">
    <w:name w:val="Hyperlink"/>
    <w:basedOn w:val="DefaultParagraphFont"/>
    <w:uiPriority w:val="99"/>
    <w:unhideWhenUsed/>
    <w:rsid w:val="00FD1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1017</Words>
  <Characters>6882</Characters>
  <Application>Microsoft Office Word</Application>
  <DocSecurity>0</DocSecurity>
  <Lines>215</Lines>
  <Paragraphs>161</Paragraphs>
  <ScaleCrop>false</ScaleCrop>
  <Company>Author-it Software Corporation Ltd.</Company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SITEEVT008 Manage event staging components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