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0EA" w:rsidP="00A920EA">
      <w:pPr>
        <w:pStyle w:val="Title"/>
      </w:pPr>
      <w:r>
        <w:fldChar w:fldCharType="begin"/>
      </w:r>
      <w:r>
        <w:instrText xml:space="preserve"> TITLE   \* MERGEFORMAT </w:instrText>
      </w:r>
      <w:r>
        <w:fldChar w:fldCharType="separate"/>
      </w:r>
      <w:r>
        <w:t>SISOSCB317A Complete a dive using Enriched Air Nitrox</w:t>
      </w:r>
      <w:r>
        <w:fldChar w:fldCharType="end"/>
      </w:r>
    </w:p>
    <w:p w:rsidR="00A920EA" w:rsidP="00A920EA">
      <w:pPr>
        <w:pStyle w:val="Version"/>
        <w:sectPr w:rsidSect="00FD7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7F74" w:rsidP="00FD7F74">
      <w:pPr>
        <w:pStyle w:val="SuperHeading"/>
      </w:pPr>
      <w:r w:rsidRPr="00FD7F74">
        <w:t>SISOSCB317A Complete a dive using Enriched Air Nitrox</w:t>
      </w:r>
    </w:p>
    <w:p w:rsidR="00000000" w:rsidRPr="00FD7F74" w:rsidP="00FD7F74">
      <w:pPr>
        <w:pStyle w:val="Heading1"/>
      </w:pPr>
      <w:bookmarkStart w:id="1" w:name="O_367480"/>
      <w:bookmarkEnd w:id="1"/>
      <w:r w:rsidRPr="00FD7F74">
        <w:t>Modification History</w:t>
      </w:r>
    </w:p>
    <w:p w:rsidR="00000000" w:rsidRPr="00FD7F74" w:rsidP="00FD7F74">
      <w:pPr>
        <w:pStyle w:val="BodyText"/>
      </w:pPr>
      <w:r w:rsidRPr="00FD7F74">
        <w:t>Not Applicable</w:t>
      </w:r>
    </w:p>
    <w:p w:rsidR="00000000" w:rsidRPr="00FD7F74" w:rsidP="00FD7F74">
      <w:pPr>
        <w:pStyle w:val="AllowPageBreak"/>
      </w:pPr>
    </w:p>
    <w:p w:rsidR="00000000" w:rsidRPr="00FD7F74" w:rsidP="00FD7F74">
      <w:pPr>
        <w:pStyle w:val="Heading1"/>
      </w:pPr>
      <w:bookmarkStart w:id="2" w:name="O_367476"/>
      <w:bookmarkEnd w:id="2"/>
      <w:r w:rsidRPr="00FD7F74">
        <w:t>Unit Descriptor</w:t>
      </w:r>
    </w:p>
    <w:p w:rsidR="00000000" w:rsidRPr="00FD7F74" w:rsidP="00FD7F74">
      <w:pPr>
        <w:pStyle w:val="BodyText"/>
      </w:pPr>
      <w:r w:rsidRPr="00FD7F74">
        <w:t>This unit describes the performance outcomes, skills and knowledge required to plan and perform an EANx dive unde</w:t>
      </w:r>
      <w:r w:rsidRPr="00FD7F74">
        <w:t>r supervision. This unit also focuses on disassembling and maintaining equipment used for EANx dives.</w:t>
      </w:r>
    </w:p>
    <w:p w:rsidR="00000000" w:rsidRPr="00FD7F74" w:rsidP="00FD7F74">
      <w:pPr>
        <w:pStyle w:val="AllowPageBreak"/>
      </w:pPr>
    </w:p>
    <w:p w:rsidR="00000000" w:rsidRPr="00FD7F74" w:rsidP="00FD7F74">
      <w:pPr>
        <w:pStyle w:val="Heading1"/>
      </w:pPr>
      <w:bookmarkStart w:id="3" w:name="O_367489"/>
      <w:bookmarkEnd w:id="3"/>
      <w:r w:rsidRPr="00FD7F74">
        <w:t>Application of the Unit</w:t>
      </w:r>
    </w:p>
    <w:p w:rsidR="00000000" w:rsidRPr="00FD7F74" w:rsidP="00FD7F74">
      <w:pPr>
        <w:pStyle w:val="BodyText"/>
      </w:pPr>
      <w:r w:rsidRPr="00FD7F74">
        <w:t xml:space="preserve">This unit applies to current or aspiring specialty SCUBA dive guides or instructors responsible for planning and </w:t>
      </w:r>
      <w:r w:rsidRPr="00FD7F74">
        <w:t>performing controlled open water dives under supervision using enriched air nitrox (EANx). This may include those working for private dive schools or companies operating at coastal sites or through holiday resorts.</w:t>
      </w:r>
    </w:p>
    <w:p w:rsidR="00000000" w:rsidRPr="00FD7F74" w:rsidP="00FD7F74">
      <w:pPr>
        <w:pStyle w:val="BodyText"/>
      </w:pPr>
    </w:p>
    <w:p w:rsidR="00000000" w:rsidRPr="00FD7F74" w:rsidP="00FD7F74">
      <w:pPr>
        <w:pStyle w:val="BodyText"/>
      </w:pPr>
      <w:r w:rsidRPr="00FD7F74">
        <w:t>This may also include those working for,</w:t>
      </w:r>
      <w:r w:rsidRPr="00FD7F74">
        <w:t xml:space="preserve"> volunteer organisations, not for profit organisations, government agencies, or group instructors in outdoor education programs.</w:t>
      </w:r>
    </w:p>
    <w:p w:rsidR="00000000" w:rsidRPr="00FD7F74" w:rsidP="00FD7F74">
      <w:pPr>
        <w:pStyle w:val="AllowPageBreak"/>
      </w:pPr>
    </w:p>
    <w:p w:rsidR="00000000" w:rsidRPr="00FD7F74" w:rsidP="00FD7F74">
      <w:pPr>
        <w:pStyle w:val="Heading1"/>
      </w:pPr>
      <w:bookmarkStart w:id="4" w:name="O_367481"/>
      <w:bookmarkEnd w:id="4"/>
      <w:r w:rsidRPr="00FD7F74">
        <w:t>Licensing/Regulatory Information</w:t>
      </w:r>
    </w:p>
    <w:p w:rsidR="00000000" w:rsidRPr="00FD7F74" w:rsidP="00FD7F74">
      <w:pPr>
        <w:pStyle w:val="BodyText"/>
      </w:pPr>
      <w:r w:rsidRPr="00FD7F74">
        <w:t>No licensing, regulatory or certification requirements apply to this unit at the time of endorsement.</w:t>
      </w:r>
    </w:p>
    <w:p w:rsidR="00000000" w:rsidRPr="00FD7F74" w:rsidP="00FD7F74">
      <w:pPr>
        <w:pStyle w:val="AllowPageBreak"/>
      </w:pPr>
    </w:p>
    <w:p w:rsidR="00000000" w:rsidRPr="00FD7F74" w:rsidP="00FD7F74">
      <w:pPr>
        <w:pStyle w:val="Heading1"/>
      </w:pPr>
      <w:bookmarkStart w:id="5" w:name="O_367479"/>
      <w:bookmarkEnd w:id="5"/>
      <w:r w:rsidRPr="00FD7F74">
        <w:t>Pre-Requisites</w:t>
      </w:r>
    </w:p>
    <w:p w:rsidR="00000000" w:rsidRPr="00FD7F74" w:rsidP="00FD7F74">
      <w:pPr>
        <w:pStyle w:val="BodyText"/>
      </w:pPr>
      <w:r w:rsidRPr="00FD7F74">
        <w:t>SISOSCB301A SCUBA dive in open water to a maximum depth of 18 metres</w:t>
      </w:r>
    </w:p>
    <w:p w:rsidR="00000000" w:rsidRPr="00FD7F74" w:rsidP="00FD7F74">
      <w:pPr>
        <w:pStyle w:val="AllowPageBreak"/>
      </w:pPr>
    </w:p>
    <w:p w:rsidR="00000000" w:rsidRPr="00FD7F74" w:rsidP="00FD7F74">
      <w:pPr>
        <w:pStyle w:val="Heading1"/>
      </w:pPr>
      <w:bookmarkStart w:id="6" w:name="O_367484"/>
      <w:bookmarkEnd w:id="6"/>
      <w:r w:rsidRPr="00FD7F74">
        <w:t>Employability Skills Information</w:t>
      </w:r>
    </w:p>
    <w:p w:rsidR="00000000" w:rsidRPr="00FD7F74" w:rsidP="00FD7F74">
      <w:pPr>
        <w:pStyle w:val="BodyText"/>
      </w:pPr>
      <w:r w:rsidRPr="00FD7F74">
        <w:t>Thi</w:t>
      </w:r>
      <w:r w:rsidRPr="00FD7F74">
        <w:t>s unit contains employability skills.</w:t>
      </w:r>
    </w:p>
    <w:p w:rsidR="00000000" w:rsidRPr="00FD7F74" w:rsidP="00FD7F74">
      <w:pPr>
        <w:pStyle w:val="AllowPageBreak"/>
      </w:pPr>
    </w:p>
    <w:p w:rsidR="00000000" w:rsidRPr="00FD7F74" w:rsidP="00FD7F74">
      <w:pPr>
        <w:pStyle w:val="Heading1"/>
      </w:pPr>
      <w:bookmarkStart w:id="7" w:name="O_367485"/>
      <w:bookmarkEnd w:id="7"/>
      <w:r w:rsidRPr="00FD7F74">
        <w:t>Elements and Performance Criteria Pre-Content</w:t>
      </w:r>
    </w:p>
    <w:p w:rsidR="00000000" w:rsidRPr="00FD7F74" w:rsidP="00FD7F74">
      <w:pPr>
        <w:pStyle w:val="Heading1"/>
      </w:pPr>
      <w:bookmarkStart w:id="8" w:name="O_367486"/>
      <w:bookmarkEnd w:id="8"/>
      <w:r w:rsidRPr="00FD7F74">
        <w:t>Elements and Performance Criteria</w:t>
      </w:r>
    </w:p>
    <w:tbl>
      <w:tblPr>
        <w:tblW w:w="0" w:type="auto"/>
        <w:tblLayout w:type="fixed"/>
        <w:tblCellMar>
          <w:left w:w="62" w:type="dxa"/>
          <w:right w:w="62" w:type="dxa"/>
        </w:tblCellMar>
        <w:tblLook w:val="0000"/>
      </w:tblPr>
      <w:tblGrid>
        <w:gridCol w:w="2624"/>
        <w:gridCol w:w="5898"/>
      </w:tblGrid>
      <w:tr w:rsidTr="00A920E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FD7F74" w:rsidP="00FD7F74">
            <w:pPr>
              <w:pStyle w:val="BodyText"/>
            </w:pPr>
            <w:r w:rsidRPr="00FD7F74">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PERFORMANCE CRITERIA</w:t>
            </w:r>
          </w:p>
        </w:tc>
      </w:tr>
      <w:tr w:rsidTr="00A920E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t>Performance criteria describe the performance needed to demonstrate achievement of the element. Where bold italicised text is used, further information is detailed in the required skills and knowledge section and the range statement. Assessment of performa</w:t>
            </w:r>
            <w:r w:rsidRPr="00FD7F74">
              <w:t>nce is to be consistent with the Evidence Guide.</w:t>
            </w:r>
          </w:p>
        </w:tc>
      </w:tr>
      <w:tr w:rsidTr="00A920E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D7F74">
            <w:pPr>
              <w:pStyle w:val="List"/>
              <w:rPr>
                <w:lang w:val="en-NZ"/>
              </w:rPr>
            </w:pPr>
            <w:r w:rsidRPr="00FD7F74">
              <w:t>1.</w:t>
            </w:r>
            <w:r w:rsidRPr="00FD7F74">
              <w:tab/>
              <w:t>Plan an EANx dive.</w:t>
            </w:r>
          </w:p>
        </w:tc>
        <w:tc>
          <w:tcPr>
            <w:tcW w:w="5898" w:type="dxa"/>
            <w:tcBorders>
              <w:top w:val="nil"/>
              <w:left w:val="nil"/>
              <w:bottom w:val="nil"/>
              <w:right w:val="nil"/>
            </w:tcBorders>
            <w:tcMar>
              <w:top w:w="0" w:type="dxa"/>
              <w:left w:w="62" w:type="dxa"/>
              <w:bottom w:w="0" w:type="dxa"/>
              <w:right w:w="62" w:type="dxa"/>
            </w:tcMar>
          </w:tcPr>
          <w:p w:rsidR="00000000" w:rsidRPr="00FD7F74" w:rsidP="00FD7F74">
            <w:pPr>
              <w:pStyle w:val="List2"/>
            </w:pPr>
            <w:r w:rsidRPr="00FD7F74">
              <w:t>1.1.</w:t>
            </w:r>
            <w:r w:rsidRPr="00FD7F74">
              <w:tab/>
              <w:t xml:space="preserve">Identify the </w:t>
            </w:r>
            <w:r w:rsidRPr="00FD7F74">
              <w:rPr>
                <w:rStyle w:val="BoldandItalics"/>
              </w:rPr>
              <w:t>requirements</w:t>
            </w:r>
            <w:r w:rsidRPr="00FD7F74">
              <w:t xml:space="preserve"> of EANx use and associated </w:t>
            </w:r>
            <w:r w:rsidRPr="00FD7F74">
              <w:rPr>
                <w:rStyle w:val="BoldandItalics"/>
              </w:rPr>
              <w:t>hazards</w:t>
            </w:r>
            <w:r w:rsidRPr="00FD7F74">
              <w:t>.</w:t>
            </w:r>
          </w:p>
          <w:p w:rsidR="00000000" w:rsidRPr="00FD7F74" w:rsidP="00FD7F74">
            <w:pPr>
              <w:pStyle w:val="List2"/>
            </w:pPr>
            <w:r w:rsidRPr="00FD7F74">
              <w:t>1.2.</w:t>
            </w:r>
            <w:r w:rsidRPr="00FD7F74">
              <w:tab/>
              <w:t xml:space="preserve">Prepare </w:t>
            </w:r>
            <w:r w:rsidRPr="00FD7F74">
              <w:rPr>
                <w:rStyle w:val="BoldandItalics"/>
              </w:rPr>
              <w:t>EANx dive plan</w:t>
            </w:r>
            <w:r w:rsidRPr="00FD7F74">
              <w:t xml:space="preserve"> according to </w:t>
            </w:r>
            <w:r w:rsidRPr="00FD7F74">
              <w:rPr>
                <w:rStyle w:val="BoldandItalics"/>
              </w:rPr>
              <w:t>industry technical and safety criteria</w:t>
            </w:r>
            <w:r w:rsidRPr="00FD7F74">
              <w:t xml:space="preserve">, </w:t>
            </w:r>
            <w:r w:rsidRPr="00FD7F74">
              <w:rPr>
                <w:rStyle w:val="BoldandItalics"/>
              </w:rPr>
              <w:t>relevant legislation</w:t>
            </w:r>
            <w:r w:rsidRPr="00FD7F74">
              <w:t xml:space="preserve"> and </w:t>
            </w:r>
            <w:r w:rsidRPr="00FD7F74">
              <w:rPr>
                <w:rStyle w:val="BoldandItalics"/>
              </w:rPr>
              <w:t>organisational policies and procedures</w:t>
            </w:r>
            <w:r w:rsidRPr="00FD7F74">
              <w:t>.</w:t>
            </w:r>
          </w:p>
          <w:p w:rsidR="00000000" w:rsidP="00FD7F74">
            <w:pPr>
              <w:pStyle w:val="List2"/>
              <w:rPr>
                <w:lang w:val="en-NZ"/>
              </w:rPr>
            </w:pPr>
            <w:r w:rsidRPr="00FD7F74">
              <w:t>1.3.</w:t>
            </w:r>
            <w:r w:rsidRPr="00FD7F74">
              <w:tab/>
              <w:t>Select a suitable dive site according to industry technical and safety criteria, relevant legislation and organisational policies and procedures.</w:t>
            </w:r>
          </w:p>
        </w:tc>
      </w:tr>
      <w:tr w:rsidTr="00A920E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D7F74">
            <w:pPr>
              <w:pStyle w:val="List"/>
              <w:rPr>
                <w:lang w:val="en-NZ"/>
              </w:rPr>
            </w:pPr>
            <w:r w:rsidRPr="00FD7F74">
              <w:t>2.</w:t>
            </w:r>
            <w:r w:rsidRPr="00FD7F74">
              <w:tab/>
              <w:t>Select equipment.</w:t>
            </w:r>
          </w:p>
        </w:tc>
        <w:tc>
          <w:tcPr>
            <w:tcW w:w="5898" w:type="dxa"/>
            <w:tcBorders>
              <w:top w:val="nil"/>
              <w:left w:val="nil"/>
              <w:bottom w:val="nil"/>
              <w:right w:val="nil"/>
            </w:tcBorders>
            <w:tcMar>
              <w:top w:w="0" w:type="dxa"/>
              <w:left w:w="62" w:type="dxa"/>
              <w:bottom w:w="0" w:type="dxa"/>
              <w:right w:w="62" w:type="dxa"/>
            </w:tcMar>
          </w:tcPr>
          <w:p w:rsidR="00000000" w:rsidRPr="00FD7F74" w:rsidP="00FD7F74">
            <w:pPr>
              <w:pStyle w:val="List2"/>
            </w:pPr>
            <w:r w:rsidRPr="00FD7F74">
              <w:t>2.1.</w:t>
            </w:r>
            <w:r w:rsidRPr="00FD7F74">
              <w:tab/>
              <w:t xml:space="preserve">Select </w:t>
            </w:r>
            <w:r w:rsidRPr="00FD7F74">
              <w:rPr>
                <w:rStyle w:val="BoldandItalics"/>
              </w:rPr>
              <w:t>blend and equipment</w:t>
            </w:r>
            <w:r w:rsidRPr="00FD7F74">
              <w:t xml:space="preserve"> according t</w:t>
            </w:r>
            <w:r w:rsidRPr="00FD7F74">
              <w:t>o industry technical and safety criteria.</w:t>
            </w:r>
          </w:p>
          <w:p w:rsidR="00000000" w:rsidP="00FD7F74">
            <w:pPr>
              <w:pStyle w:val="List2"/>
              <w:rPr>
                <w:lang w:val="en-NZ"/>
              </w:rPr>
            </w:pPr>
            <w:r w:rsidRPr="00FD7F74">
              <w:t>2.2.</w:t>
            </w:r>
            <w:r w:rsidRPr="00FD7F74">
              <w:tab/>
              <w:t xml:space="preserve">Perform </w:t>
            </w:r>
            <w:r w:rsidRPr="00FD7F74">
              <w:rPr>
                <w:rStyle w:val="BoldandItalics"/>
              </w:rPr>
              <w:t>pre dive checks</w:t>
            </w:r>
            <w:r w:rsidRPr="00FD7F74">
              <w:t xml:space="preserve"> and </w:t>
            </w:r>
            <w:r w:rsidRPr="00FD7F74">
              <w:rPr>
                <w:rStyle w:val="BoldandItalics"/>
              </w:rPr>
              <w:t>maintenance</w:t>
            </w:r>
            <w:r w:rsidRPr="00FD7F74">
              <w:t xml:space="preserve"> of EANx equipment according to industry technical and safety criteria, manufacturer's recommendations and organisational policies and procedures.</w:t>
            </w:r>
          </w:p>
        </w:tc>
      </w:tr>
      <w:tr w:rsidTr="00A920E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D7F74">
            <w:pPr>
              <w:pStyle w:val="List"/>
              <w:rPr>
                <w:lang w:val="en-NZ"/>
              </w:rPr>
            </w:pPr>
            <w:r w:rsidRPr="00FD7F74">
              <w:t>3.</w:t>
            </w:r>
            <w:r w:rsidRPr="00FD7F74">
              <w:tab/>
              <w:t>Dive using EANx.</w:t>
            </w:r>
          </w:p>
        </w:tc>
        <w:tc>
          <w:tcPr>
            <w:tcW w:w="5898" w:type="dxa"/>
            <w:tcBorders>
              <w:top w:val="nil"/>
              <w:left w:val="nil"/>
              <w:bottom w:val="nil"/>
              <w:right w:val="nil"/>
            </w:tcBorders>
            <w:tcMar>
              <w:top w:w="0" w:type="dxa"/>
              <w:left w:w="62" w:type="dxa"/>
              <w:bottom w:w="0" w:type="dxa"/>
              <w:right w:w="62" w:type="dxa"/>
            </w:tcMar>
          </w:tcPr>
          <w:p w:rsidR="00000000" w:rsidRPr="00FD7F74" w:rsidP="00FD7F74">
            <w:pPr>
              <w:pStyle w:val="List2"/>
            </w:pPr>
            <w:r w:rsidRPr="00FD7F74">
              <w:t>3.</w:t>
            </w:r>
            <w:r w:rsidRPr="00FD7F74">
              <w:t>1.</w:t>
            </w:r>
            <w:r w:rsidRPr="00FD7F74">
              <w:tab/>
              <w:t>Complete EANx dive according to dive plan, EANx criteria and industry technical and safety criteria.</w:t>
            </w:r>
          </w:p>
          <w:p w:rsidR="00000000" w:rsidRPr="00FD7F74" w:rsidP="00FD7F74">
            <w:pPr>
              <w:pStyle w:val="List2"/>
            </w:pPr>
            <w:r w:rsidRPr="00FD7F74">
              <w:t>3.2.</w:t>
            </w:r>
            <w:r w:rsidRPr="00FD7F74">
              <w:tab/>
              <w:t>Monitor depth and time throughout dive.</w:t>
            </w:r>
          </w:p>
          <w:p w:rsidR="00000000" w:rsidP="00FD7F74">
            <w:pPr>
              <w:pStyle w:val="List2"/>
              <w:rPr>
                <w:lang w:val="en-NZ"/>
              </w:rPr>
            </w:pPr>
            <w:r w:rsidRPr="00FD7F74">
              <w:t>3.3.</w:t>
            </w:r>
            <w:r w:rsidRPr="00FD7F74">
              <w:tab/>
              <w:t>Take remedial action to avoid hazards.</w:t>
            </w:r>
          </w:p>
        </w:tc>
      </w:tr>
      <w:tr w:rsidTr="00A920E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D7F74">
            <w:pPr>
              <w:pStyle w:val="List"/>
              <w:rPr>
                <w:lang w:val="en-NZ"/>
              </w:rPr>
            </w:pPr>
            <w:r w:rsidRPr="00FD7F74">
              <w:t>4.</w:t>
            </w:r>
            <w:r w:rsidRPr="00FD7F74">
              <w:tab/>
              <w:t>Disassemble and maintain equipment.</w:t>
            </w:r>
          </w:p>
        </w:tc>
        <w:tc>
          <w:tcPr>
            <w:tcW w:w="5898" w:type="dxa"/>
            <w:tcBorders>
              <w:top w:val="nil"/>
              <w:left w:val="nil"/>
              <w:bottom w:val="nil"/>
              <w:right w:val="nil"/>
            </w:tcBorders>
            <w:tcMar>
              <w:top w:w="0" w:type="dxa"/>
              <w:left w:w="62" w:type="dxa"/>
              <w:bottom w:w="0" w:type="dxa"/>
              <w:right w:w="62" w:type="dxa"/>
            </w:tcMar>
          </w:tcPr>
          <w:p w:rsidR="00000000" w:rsidRPr="00FD7F74" w:rsidP="00FD7F74">
            <w:pPr>
              <w:pStyle w:val="List2"/>
            </w:pPr>
            <w:r w:rsidRPr="00FD7F74">
              <w:t>4.1.</w:t>
            </w:r>
            <w:r w:rsidRPr="00FD7F74">
              <w:tab/>
              <w:t xml:space="preserve">Maintain positive </w:t>
            </w:r>
            <w:r w:rsidRPr="00FD7F74">
              <w:t>pressure in the cylinder to avoid entry of atmospheric air.</w:t>
            </w:r>
          </w:p>
          <w:p w:rsidR="00000000" w:rsidRPr="00FD7F74" w:rsidP="00FD7F74">
            <w:pPr>
              <w:pStyle w:val="List2"/>
            </w:pPr>
            <w:r w:rsidRPr="00FD7F74">
              <w:t>4.2.</w:t>
            </w:r>
            <w:r w:rsidRPr="00FD7F74">
              <w:tab/>
              <w:t>Disassemble regulators and gauges according to industry technical and safety criteria.</w:t>
            </w:r>
          </w:p>
          <w:p w:rsidR="00000000" w:rsidP="00FD7F74">
            <w:pPr>
              <w:pStyle w:val="List2"/>
              <w:rPr>
                <w:lang w:val="en-NZ"/>
              </w:rPr>
            </w:pPr>
            <w:r w:rsidRPr="00FD7F74">
              <w:t>4.3.</w:t>
            </w:r>
            <w:r w:rsidRPr="00FD7F74">
              <w:tab/>
              <w:t>Undertake service and maintenance of equipment with parts compatible with elevated oxygen mix accor</w:t>
            </w:r>
            <w:r w:rsidRPr="00FD7F74">
              <w:t>ding to industry technical and safety criteria.</w:t>
            </w:r>
          </w:p>
        </w:tc>
      </w:tr>
      <w:tr w:rsidTr="00A920EA">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D7F74">
            <w:pPr>
              <w:pStyle w:val="List"/>
              <w:rPr>
                <w:lang w:val="en-NZ"/>
              </w:rPr>
            </w:pPr>
            <w:r w:rsidRPr="00FD7F74">
              <w:t>5.</w:t>
            </w:r>
            <w:r w:rsidRPr="00FD7F74">
              <w:tab/>
              <w:t>Evaluate EANx dive.</w:t>
            </w:r>
          </w:p>
        </w:tc>
        <w:tc>
          <w:tcPr>
            <w:tcW w:w="5898" w:type="dxa"/>
            <w:tcBorders>
              <w:top w:val="nil"/>
              <w:left w:val="nil"/>
              <w:bottom w:val="nil"/>
              <w:right w:val="nil"/>
            </w:tcBorders>
            <w:tcMar>
              <w:top w:w="0" w:type="dxa"/>
              <w:left w:w="62" w:type="dxa"/>
              <w:bottom w:w="0" w:type="dxa"/>
              <w:right w:w="62" w:type="dxa"/>
            </w:tcMar>
          </w:tcPr>
          <w:p w:rsidR="00000000" w:rsidRPr="00FD7F74" w:rsidP="00FD7F74">
            <w:pPr>
              <w:pStyle w:val="List2"/>
            </w:pPr>
            <w:r w:rsidRPr="00FD7F74">
              <w:t>5.1.</w:t>
            </w:r>
            <w:r w:rsidRPr="00FD7F74">
              <w:tab/>
              <w:t xml:space="preserve">Evaluate </w:t>
            </w:r>
            <w:r w:rsidRPr="00FD7F74">
              <w:rPr>
                <w:rStyle w:val="BoldandItalics"/>
              </w:rPr>
              <w:t>relevant aspects</w:t>
            </w:r>
            <w:r w:rsidRPr="00FD7F74">
              <w:t xml:space="preserve"> of the EANx dive.</w:t>
            </w:r>
          </w:p>
          <w:p w:rsidR="00000000" w:rsidRPr="00FD7F74" w:rsidP="00FD7F74">
            <w:pPr>
              <w:pStyle w:val="List2"/>
            </w:pPr>
            <w:r w:rsidRPr="00FD7F74">
              <w:t>5.2.</w:t>
            </w:r>
            <w:r w:rsidRPr="00FD7F74">
              <w:tab/>
              <w:t>Identify improvements for future EANx dives.</w:t>
            </w:r>
          </w:p>
        </w:tc>
      </w:tr>
    </w:tbl>
    <w:p w:rsidR="00000000" w:rsidRPr="00FD7F74" w:rsidP="00FD7F74">
      <w:pPr>
        <w:pStyle w:val="BodyText"/>
      </w:pPr>
    </w:p>
    <w:p w:rsidR="00000000" w:rsidRPr="00FD7F74" w:rsidP="00FD7F74">
      <w:pPr>
        <w:pStyle w:val="AllowPageBreak"/>
      </w:pPr>
    </w:p>
    <w:p w:rsidR="00000000" w:rsidRPr="00FD7F74" w:rsidP="00FD7F74">
      <w:pPr>
        <w:pStyle w:val="Heading1"/>
      </w:pPr>
      <w:bookmarkStart w:id="9" w:name="O_367477"/>
      <w:bookmarkEnd w:id="9"/>
      <w:r w:rsidRPr="00FD7F74">
        <w:t>Required Skills and Knowledge</w:t>
      </w:r>
    </w:p>
    <w:tbl>
      <w:tblPr>
        <w:tblW w:w="0" w:type="auto"/>
        <w:tblLayout w:type="fixed"/>
        <w:tblCellMar>
          <w:left w:w="62" w:type="dxa"/>
          <w:right w:w="62" w:type="dxa"/>
        </w:tblCellMar>
        <w:tblLook w:val="0000"/>
      </w:tblPr>
      <w:tblGrid>
        <w:gridCol w:w="8522"/>
      </w:tblGrid>
      <w:tr w:rsidTr="00A920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t>This section describes the skills and knowledge required for this unit.</w:t>
            </w:r>
          </w:p>
        </w:tc>
      </w:tr>
      <w:tr w:rsidTr="00A920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Required skills</w:t>
            </w:r>
          </w:p>
        </w:tc>
      </w:tr>
      <w:tr w:rsidTr="00A920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planning and organising skills to:</w:t>
            </w:r>
          </w:p>
          <w:p w:rsidR="00000000" w:rsidRPr="00FD7F74" w:rsidP="00FD7F74">
            <w:pPr>
              <w:pStyle w:val="ListBullet2"/>
            </w:pPr>
            <w:r w:rsidRPr="00FD7F74">
              <w:t>devise a suitable EANx dive plan</w:t>
            </w:r>
          </w:p>
          <w:p w:rsidR="00000000" w:rsidRPr="00FD7F74" w:rsidP="00FD7F74">
            <w:pPr>
              <w:pStyle w:val="ListBullet2"/>
            </w:pPr>
            <w:r w:rsidRPr="00FD7F74">
              <w:t>check, maintain and disassemble equipment</w:t>
            </w:r>
          </w:p>
          <w:p w:rsidR="00000000" w:rsidRPr="00FD7F74" w:rsidP="00FD7F74">
            <w:pPr>
              <w:pStyle w:val="ListBullet"/>
            </w:pPr>
            <w:r w:rsidRPr="00FD7F74">
              <w:t>self management and observation skills to:</w:t>
            </w:r>
          </w:p>
          <w:p w:rsidR="00000000" w:rsidRPr="00FD7F74" w:rsidP="00FD7F74">
            <w:pPr>
              <w:pStyle w:val="ListBullet2"/>
            </w:pPr>
            <w:r w:rsidRPr="00FD7F74">
              <w:t xml:space="preserve">perform pre dive checks and maintenance of EANx equipment </w:t>
            </w:r>
          </w:p>
          <w:p w:rsidR="00000000" w:rsidRPr="00FD7F74" w:rsidP="00FD7F74">
            <w:pPr>
              <w:pStyle w:val="ListBullet2"/>
            </w:pPr>
            <w:r w:rsidRPr="00FD7F74">
              <w:t>monitor depth and time throughout dive</w:t>
            </w:r>
          </w:p>
          <w:p w:rsidR="00000000" w:rsidRPr="00FD7F74" w:rsidP="00FD7F74">
            <w:pPr>
              <w:pStyle w:val="ListBullet"/>
            </w:pPr>
            <w:r w:rsidRPr="00FD7F74">
              <w:t>problem-solving skills to:</w:t>
            </w:r>
          </w:p>
          <w:p w:rsidR="00000000" w:rsidRPr="00FD7F74" w:rsidP="00FD7F74">
            <w:pPr>
              <w:pStyle w:val="ListBullet2"/>
            </w:pPr>
            <w:r w:rsidRPr="00FD7F74">
              <w:t>anticipate and eliminate potential hazards associated with EANx diving</w:t>
            </w:r>
          </w:p>
          <w:p w:rsidR="00000000" w:rsidRPr="00FD7F74" w:rsidP="00FD7F74">
            <w:pPr>
              <w:pStyle w:val="ListBullet2"/>
            </w:pPr>
            <w:r w:rsidRPr="00FD7F74">
              <w:t xml:space="preserve">calculate gas mixtures </w:t>
            </w:r>
          </w:p>
          <w:p w:rsidR="00000000" w:rsidRPr="00FD7F74" w:rsidP="00FD7F74">
            <w:pPr>
              <w:pStyle w:val="ListBullet2"/>
            </w:pPr>
            <w:r w:rsidRPr="00FD7F74">
              <w:t>develop and make decisions regarding gas plan</w:t>
            </w:r>
          </w:p>
          <w:p w:rsidR="00000000" w:rsidRPr="00FD7F74" w:rsidP="00FD7F74">
            <w:pPr>
              <w:pStyle w:val="ListBullet"/>
            </w:pPr>
            <w:r w:rsidRPr="00FD7F74">
              <w:t xml:space="preserve">numeracy skills to calculate safe blends and percentages of oxygen and nitrogen </w:t>
            </w:r>
          </w:p>
          <w:p w:rsidR="00000000" w:rsidP="00FD7F74">
            <w:pPr>
              <w:pStyle w:val="ListBullet"/>
              <w:rPr>
                <w:lang w:val="en-NZ"/>
              </w:rPr>
            </w:pPr>
            <w:r w:rsidRPr="00FD7F74">
              <w:t>first aid and emergency response skills appropriate to the site to enable initial response to EANx emergencies and personal heal</w:t>
            </w:r>
            <w:r w:rsidRPr="00FD7F74">
              <w:t>th care.</w:t>
            </w:r>
          </w:p>
        </w:tc>
      </w:tr>
      <w:tr w:rsidTr="00A920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Required knowledge</w:t>
            </w:r>
          </w:p>
        </w:tc>
      </w:tr>
      <w:tr w:rsidTr="00A920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legislation, organisational policies and procedures, industry standards and industry technical and safety criteria to enable safe conduct of EANx diving activities</w:t>
            </w:r>
          </w:p>
          <w:p w:rsidR="00000000" w:rsidRPr="00FD7F74" w:rsidP="00FD7F74">
            <w:pPr>
              <w:pStyle w:val="ListBullet"/>
            </w:pPr>
            <w:r w:rsidRPr="00FD7F74">
              <w:t xml:space="preserve">equipment types, characteristics and technology used for EANx diving, the advantages and disadvantages of the range of equipment and factors affecting appropriate selection </w:t>
            </w:r>
          </w:p>
          <w:p w:rsidR="00000000" w:rsidRPr="00FD7F74" w:rsidP="00FD7F74">
            <w:pPr>
              <w:pStyle w:val="ListBullet"/>
            </w:pPr>
            <w:r w:rsidRPr="00FD7F74">
              <w:t>principles of mixing gas, the different types of gas and its application in EANx d</w:t>
            </w:r>
            <w:r w:rsidRPr="00FD7F74">
              <w:t xml:space="preserve">iving </w:t>
            </w:r>
          </w:p>
          <w:p w:rsidR="00000000" w:rsidRPr="00FD7F74" w:rsidP="00FD7F74">
            <w:pPr>
              <w:pStyle w:val="ListBullet"/>
            </w:pPr>
            <w:r w:rsidRPr="00FD7F74">
              <w:t>requirements and hazards associated with EANx diving and how to negotiate these</w:t>
            </w:r>
          </w:p>
          <w:p w:rsidR="00000000" w:rsidRPr="00FD7F74" w:rsidP="00FD7F74">
            <w:pPr>
              <w:pStyle w:val="ListBullet"/>
            </w:pPr>
            <w:r w:rsidRPr="00FD7F74">
              <w:t>no decompression limits for EANx diving</w:t>
            </w:r>
          </w:p>
          <w:p w:rsidR="00000000" w:rsidRPr="00FD7F74" w:rsidP="00FD7F74">
            <w:pPr>
              <w:pStyle w:val="ListBullet"/>
            </w:pPr>
            <w:r w:rsidRPr="00FD7F74">
              <w:t>emergency, first aid and rescue procedures appropriate to the location to ensure risk minimisation to self and group.</w:t>
            </w:r>
          </w:p>
        </w:tc>
      </w:tr>
    </w:tbl>
    <w:p w:rsidR="00000000" w:rsidRPr="00FD7F74" w:rsidP="00FD7F74">
      <w:pPr>
        <w:pStyle w:val="BodyText"/>
      </w:pPr>
    </w:p>
    <w:p w:rsidR="00000000" w:rsidRPr="00FD7F74" w:rsidP="00FD7F74">
      <w:pPr>
        <w:pStyle w:val="AllowPageBreak"/>
      </w:pPr>
    </w:p>
    <w:p w:rsidR="00000000" w:rsidRPr="00FD7F74" w:rsidP="00FD7F74">
      <w:pPr>
        <w:pStyle w:val="Heading1"/>
      </w:pPr>
      <w:bookmarkStart w:id="10" w:name="O_367483"/>
      <w:bookmarkEnd w:id="10"/>
      <w:r w:rsidRPr="00FD7F74">
        <w:t>Evidence Guide</w:t>
      </w:r>
    </w:p>
    <w:tbl>
      <w:tblPr>
        <w:tblW w:w="0" w:type="auto"/>
        <w:tblCellMar>
          <w:left w:w="62" w:type="dxa"/>
          <w:right w:w="62" w:type="dxa"/>
        </w:tblCellMar>
        <w:tblLook w:val="0000"/>
      </w:tblPr>
      <w:tblGrid>
        <w:gridCol w:w="3630"/>
        <w:gridCol w:w="5566"/>
      </w:tblGrid>
      <w:tr w:rsidTr="00A920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t>The evidence guide provides advice on assessment and must be read in conjunction with the performance criteria, required skills and knowledge, range statement and the Assessment Guidelines for the Training Package.</w:t>
            </w:r>
          </w:p>
        </w:tc>
      </w:tr>
      <w:tr w:rsidTr="00A920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D7F74">
            <w:pPr>
              <w:pStyle w:val="BodyText"/>
              <w:rPr>
                <w:lang w:val="en-NZ"/>
              </w:rPr>
            </w:pPr>
          </w:p>
        </w:tc>
      </w:tr>
      <w:tr w:rsidTr="00A920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D7F74" w:rsidP="00FD7F74">
            <w:pPr>
              <w:pStyle w:val="BodyText"/>
            </w:pPr>
            <w:r w:rsidRPr="00FD7F74">
              <w:t>Evidence of the following is essential:</w:t>
            </w:r>
          </w:p>
          <w:p w:rsidR="00000000" w:rsidRPr="00FD7F74" w:rsidP="00FD7F74">
            <w:pPr>
              <w:pStyle w:val="ListBullet"/>
            </w:pPr>
            <w:r w:rsidRPr="00FD7F74">
              <w:t>applies relevant process to plan for EANx diving, complete safely checks and maintain and disasse</w:t>
            </w:r>
            <w:r w:rsidRPr="00FD7F74">
              <w:t>mble EANx equipment</w:t>
            </w:r>
          </w:p>
          <w:p w:rsidR="00000000" w:rsidRPr="00FD7F74" w:rsidP="00FD7F74">
            <w:pPr>
              <w:pStyle w:val="ListBullet"/>
            </w:pPr>
            <w:r w:rsidRPr="00FD7F74">
              <w:t>calculates gas mixtures and no decompression limits according to industry technical and safety criteria, relevant legislation and organisational policies and procedures</w:t>
            </w:r>
          </w:p>
          <w:p w:rsidR="00000000" w:rsidRPr="00FD7F74" w:rsidP="00FD7F74">
            <w:pPr>
              <w:pStyle w:val="ListBullet"/>
            </w:pPr>
            <w:r w:rsidRPr="00FD7F74">
              <w:t>determines and negotiates specific EANx requirements, hazards and f</w:t>
            </w:r>
            <w:r w:rsidRPr="00FD7F74">
              <w:t>actors affecting diving with EANx</w:t>
            </w:r>
          </w:p>
          <w:p w:rsidR="00000000" w:rsidP="00FD7F74">
            <w:pPr>
              <w:pStyle w:val="ListBullet"/>
              <w:rPr>
                <w:lang w:val="en-NZ"/>
              </w:rPr>
            </w:pPr>
            <w:r w:rsidRPr="00FD7F74">
              <w:t>evaluates and reflects on own EANx diving performance to identify strengths, weaknesses and areas that need improvement.</w:t>
            </w:r>
          </w:p>
        </w:tc>
      </w:tr>
      <w:tr w:rsidTr="00A920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D7F74" w:rsidP="00FD7F74">
            <w:pPr>
              <w:pStyle w:val="BodyText"/>
            </w:pPr>
            <w:r w:rsidRPr="00FD7F74">
              <w:t>Assessment must ensure participation in multiple EANx diving activities to demonstrate competency and consistency of performance.</w:t>
            </w:r>
          </w:p>
          <w:p w:rsidR="00000000" w:rsidRPr="00FD7F74" w:rsidP="00FD7F74">
            <w:pPr>
              <w:pStyle w:val="BodyText"/>
            </w:pPr>
            <w:r w:rsidRPr="00FD7F74">
              <w:t>Assessment must also ensure access to:</w:t>
            </w:r>
          </w:p>
          <w:p w:rsidR="00000000" w:rsidRPr="00FD7F74" w:rsidP="00FD7F74">
            <w:pPr>
              <w:pStyle w:val="ListBullet"/>
            </w:pPr>
            <w:r w:rsidRPr="00FD7F74">
              <w:t xml:space="preserve">resources and information to plan and select appropriate equipment for EANx diving </w:t>
            </w:r>
          </w:p>
          <w:p w:rsidR="00000000" w:rsidRPr="00FD7F74" w:rsidP="00FD7F74">
            <w:pPr>
              <w:pStyle w:val="ListBullet"/>
            </w:pPr>
            <w:r w:rsidRPr="00FD7F74">
              <w:t>an</w:t>
            </w:r>
            <w:r w:rsidRPr="00FD7F74">
              <w:t xml:space="preserve"> open water site suitable for EANx diving</w:t>
            </w:r>
          </w:p>
          <w:p w:rsidR="00000000" w:rsidRPr="00FD7F74" w:rsidP="00FD7F74">
            <w:pPr>
              <w:pStyle w:val="ListBullet"/>
            </w:pPr>
            <w:r w:rsidRPr="00FD7F74">
              <w:t>a suitable diving boat, if required</w:t>
            </w:r>
          </w:p>
          <w:p w:rsidR="00000000" w:rsidP="00FD7F74">
            <w:pPr>
              <w:pStyle w:val="ListBullet"/>
              <w:rPr>
                <w:lang w:val="en-NZ"/>
              </w:rPr>
            </w:pPr>
            <w:r w:rsidRPr="00FD7F74">
              <w:t>SCUBA equipment and specific EANx diving equipment.</w:t>
            </w:r>
          </w:p>
        </w:tc>
      </w:tr>
      <w:tr w:rsidTr="00A920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D7F74" w:rsidP="00FD7F74">
            <w:pPr>
              <w:pStyle w:val="BodyText"/>
            </w:pPr>
            <w:r w:rsidRPr="00FD7F74">
              <w:t>A range of assessment methods should be used to assess practical skills and knowledge. The following exa</w:t>
            </w:r>
            <w:r w:rsidRPr="00FD7F74">
              <w:t xml:space="preserve">mples are appropriate for this unit: </w:t>
            </w:r>
          </w:p>
          <w:p w:rsidR="00000000" w:rsidRPr="00FD7F74" w:rsidP="00FD7F74">
            <w:pPr>
              <w:pStyle w:val="ListBullet"/>
            </w:pPr>
            <w:r w:rsidRPr="00FD7F74">
              <w:t>oral or written questioning to assess knowledge of EANx requirements, gas mixtures, and hazards associated with diving using EANx</w:t>
            </w:r>
          </w:p>
          <w:p w:rsidR="00000000" w:rsidRPr="00FD7F74" w:rsidP="00FD7F74">
            <w:pPr>
              <w:pStyle w:val="ListBullet"/>
            </w:pPr>
            <w:r w:rsidRPr="00FD7F74">
              <w:t>observation of safe participation and handling of EANx equipment throughout diving proc</w:t>
            </w:r>
            <w:r w:rsidRPr="00FD7F74">
              <w:t>ess</w:t>
            </w:r>
          </w:p>
          <w:p w:rsidR="00000000" w:rsidRPr="00FD7F74" w:rsidP="00FD7F74">
            <w:pPr>
              <w:pStyle w:val="ListBullet"/>
            </w:pPr>
            <w:r w:rsidRPr="00FD7F74">
              <w:t>third-party reports from a supervisor detailing performance.</w:t>
            </w:r>
          </w:p>
          <w:p w:rsidR="00000000" w:rsidRPr="00FD7F74" w:rsidP="00FD7F74">
            <w:pPr>
              <w:pStyle w:val="BodyText"/>
            </w:pPr>
            <w:r w:rsidRPr="00FD7F74">
              <w:t>Holistic assessment with other units relevant to the industry sector, workplace and job role is recommended.</w:t>
            </w:r>
          </w:p>
        </w:tc>
      </w:tr>
    </w:tbl>
    <w:p w:rsidR="00000000" w:rsidRPr="00FD7F74" w:rsidP="00FD7F74">
      <w:pPr>
        <w:pStyle w:val="BodyText"/>
      </w:pPr>
    </w:p>
    <w:p w:rsidR="00000000" w:rsidRPr="00FD7F74" w:rsidP="00FD7F74">
      <w:pPr>
        <w:pStyle w:val="AllowPageBreak"/>
      </w:pPr>
    </w:p>
    <w:p w:rsidR="00000000" w:rsidRPr="00FD7F74" w:rsidP="00FD7F74">
      <w:pPr>
        <w:pStyle w:val="Heading1"/>
      </w:pPr>
      <w:bookmarkStart w:id="11" w:name="O_367478"/>
      <w:bookmarkEnd w:id="11"/>
      <w:r w:rsidRPr="00FD7F74">
        <w:t>Range Statement</w:t>
      </w:r>
    </w:p>
    <w:tbl>
      <w:tblPr>
        <w:tblW w:w="0" w:type="auto"/>
        <w:tblLayout w:type="fixed"/>
        <w:tblCellMar>
          <w:left w:w="62" w:type="dxa"/>
          <w:right w:w="62" w:type="dxa"/>
        </w:tblCellMar>
        <w:tblLook w:val="0000"/>
      </w:tblPr>
      <w:tblGrid>
        <w:gridCol w:w="3510"/>
        <w:gridCol w:w="5012"/>
      </w:tblGrid>
      <w:tr w:rsidTr="00A920E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t>The range statement relates to the unit of competency as a whole. It allows for different work environments and situations that may affect performance. Bold italicised wording, if used in the performance criteria, is detailed below. Essential operating con</w:t>
            </w:r>
            <w:r w:rsidRPr="00FD7F74">
              <w:t>ditions that may be present with training and assessment (depending on the work situation, needs of the candidate, accessibility of the item, and local industry and regional contexts) may also be included.</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Requirements</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 xml:space="preserve">approved cylinders </w:t>
            </w:r>
          </w:p>
          <w:p w:rsidR="00000000" w:rsidRPr="00FD7F74" w:rsidP="00FD7F74">
            <w:pPr>
              <w:pStyle w:val="ListBullet"/>
            </w:pPr>
            <w:r w:rsidRPr="00FD7F74">
              <w:t xml:space="preserve">colour coding </w:t>
            </w:r>
          </w:p>
          <w:p w:rsidR="00000000" w:rsidRPr="00FD7F74" w:rsidP="00FD7F74">
            <w:pPr>
              <w:pStyle w:val="ListBullet"/>
            </w:pPr>
            <w:r w:rsidRPr="00FD7F74">
              <w:t xml:space="preserve">dive planning </w:t>
            </w:r>
          </w:p>
          <w:p w:rsidR="00000000" w:rsidRPr="00FD7F74" w:rsidP="00FD7F74">
            <w:pPr>
              <w:pStyle w:val="ListBullet"/>
            </w:pPr>
            <w:r w:rsidRPr="00FD7F74">
              <w:t xml:space="preserve">stamping </w:t>
            </w:r>
          </w:p>
          <w:p w:rsidR="00000000" w:rsidRPr="00FD7F74" w:rsidP="00FD7F74">
            <w:pPr>
              <w:pStyle w:val="ListBullet"/>
            </w:pPr>
            <w:r w:rsidRPr="00FD7F74">
              <w:t xml:space="preserve">compliance </w:t>
            </w:r>
          </w:p>
          <w:p w:rsidR="00000000" w:rsidRPr="00FD7F74" w:rsidP="00FD7F74">
            <w:pPr>
              <w:pStyle w:val="ListBullet"/>
            </w:pPr>
            <w:r w:rsidRPr="00FD7F74">
              <w:t xml:space="preserve">adequate filtering </w:t>
            </w:r>
          </w:p>
          <w:p w:rsidR="00000000" w:rsidP="00FD7F74">
            <w:pPr>
              <w:pStyle w:val="ListBullet"/>
              <w:rPr>
                <w:lang w:val="en-NZ"/>
              </w:rPr>
            </w:pPr>
            <w:r w:rsidRPr="00FD7F74">
              <w:t>compatible equipment and materials.</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Hazards</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hypothermia</w:t>
            </w:r>
          </w:p>
          <w:p w:rsidR="00000000" w:rsidRPr="00FD7F74" w:rsidP="00FD7F74">
            <w:pPr>
              <w:pStyle w:val="ListBullet"/>
            </w:pPr>
            <w:r w:rsidRPr="00FD7F74">
              <w:t>group management hazards</w:t>
            </w:r>
          </w:p>
          <w:p w:rsidR="00000000" w:rsidRPr="00FD7F74" w:rsidP="00FD7F74">
            <w:pPr>
              <w:pStyle w:val="ListBullet"/>
            </w:pPr>
            <w:r w:rsidRPr="00FD7F74">
              <w:t xml:space="preserve">equipment contamination </w:t>
            </w:r>
          </w:p>
          <w:p w:rsidR="00000000" w:rsidRPr="00FD7F74" w:rsidP="00FD7F74">
            <w:pPr>
              <w:pStyle w:val="ListBullet"/>
            </w:pPr>
            <w:r w:rsidRPr="00FD7F74">
              <w:t xml:space="preserve">oxygen toxicity </w:t>
            </w:r>
          </w:p>
          <w:p w:rsidR="00000000" w:rsidRPr="00FD7F74" w:rsidP="00FD7F74">
            <w:pPr>
              <w:pStyle w:val="ListBullet"/>
            </w:pPr>
            <w:r w:rsidRPr="00FD7F74">
              <w:t xml:space="preserve">explosion risk </w:t>
            </w:r>
          </w:p>
          <w:p w:rsidR="00000000" w:rsidRPr="00FD7F74" w:rsidP="00FD7F74">
            <w:pPr>
              <w:pStyle w:val="ListBullet"/>
            </w:pPr>
            <w:r w:rsidRPr="00FD7F74">
              <w:t xml:space="preserve">decompression illness </w:t>
            </w:r>
          </w:p>
          <w:p w:rsidR="00000000" w:rsidP="00FD7F74">
            <w:pPr>
              <w:pStyle w:val="ListBullet"/>
              <w:rPr>
                <w:lang w:val="en-NZ"/>
              </w:rPr>
            </w:pPr>
            <w:r w:rsidRPr="00FD7F74">
              <w:t>EANx bl</w:t>
            </w:r>
            <w:r w:rsidRPr="00FD7F74">
              <w:t>end analysis.</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EANx dive plan</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objectives</w:t>
            </w:r>
          </w:p>
          <w:p w:rsidR="00000000" w:rsidRPr="00FD7F74" w:rsidP="00FD7F74">
            <w:pPr>
              <w:pStyle w:val="ListBullet"/>
            </w:pPr>
            <w:r w:rsidRPr="00FD7F74">
              <w:t>date, time and duration of dive</w:t>
            </w:r>
          </w:p>
          <w:p w:rsidR="00000000" w:rsidRPr="00FD7F74" w:rsidP="00FD7F74">
            <w:pPr>
              <w:pStyle w:val="ListBullet"/>
            </w:pPr>
            <w:r w:rsidRPr="00FD7F74">
              <w:t>site, equipment and resources</w:t>
            </w:r>
          </w:p>
          <w:p w:rsidR="00000000" w:rsidRPr="00FD7F74" w:rsidP="00FD7F74">
            <w:pPr>
              <w:pStyle w:val="ListBullet"/>
            </w:pPr>
            <w:r w:rsidRPr="00FD7F74">
              <w:t>safety and emergency procedures</w:t>
            </w:r>
          </w:p>
          <w:p w:rsidR="00000000" w:rsidRPr="00FD7F74" w:rsidP="00FD7F74">
            <w:pPr>
              <w:pStyle w:val="ListBullet"/>
            </w:pPr>
            <w:r w:rsidRPr="00FD7F74">
              <w:t>experience and or expertise of dive team</w:t>
            </w:r>
          </w:p>
          <w:p w:rsidR="00000000" w:rsidRPr="00FD7F74" w:rsidP="00FD7F74">
            <w:pPr>
              <w:pStyle w:val="ListBullet"/>
            </w:pPr>
            <w:r w:rsidRPr="00FD7F74">
              <w:t>buoyancy</w:t>
            </w:r>
          </w:p>
          <w:p w:rsidR="00000000" w:rsidRPr="00FD7F74" w:rsidP="00FD7F74">
            <w:pPr>
              <w:pStyle w:val="ListBullet"/>
            </w:pPr>
            <w:r w:rsidRPr="00FD7F74">
              <w:t>dive log</w:t>
            </w:r>
          </w:p>
          <w:p w:rsidR="00000000" w:rsidRPr="00FD7F74" w:rsidP="00FD7F74">
            <w:pPr>
              <w:pStyle w:val="ListBullet"/>
            </w:pPr>
            <w:r w:rsidRPr="00FD7F74">
              <w:t xml:space="preserve">no-decompression limits </w:t>
            </w:r>
          </w:p>
          <w:p w:rsidR="00000000" w:rsidRPr="00FD7F74" w:rsidP="00FD7F74">
            <w:pPr>
              <w:pStyle w:val="ListBullet"/>
            </w:pPr>
            <w:r w:rsidRPr="00FD7F74">
              <w:t xml:space="preserve">gas plan </w:t>
            </w:r>
          </w:p>
          <w:p w:rsidR="00000000" w:rsidRPr="00FD7F74" w:rsidP="00FD7F74">
            <w:pPr>
              <w:pStyle w:val="ListBullet"/>
            </w:pPr>
            <w:r w:rsidRPr="00FD7F74">
              <w:t>calculation of partial oxygen to determine oxygen</w:t>
            </w:r>
          </w:p>
          <w:p w:rsidR="00000000" w:rsidP="00FD7F74">
            <w:pPr>
              <w:pStyle w:val="ListBullet"/>
              <w:rPr>
                <w:lang w:val="en-NZ"/>
              </w:rPr>
            </w:pPr>
            <w:r w:rsidRPr="00FD7F74">
              <w:t>risk management plan.</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Industry technical and safety criteria</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British Sub-Aqua Club (BSAC)</w:t>
            </w:r>
          </w:p>
          <w:p w:rsidR="00000000" w:rsidRPr="00FD7F74" w:rsidP="00FD7F74">
            <w:pPr>
              <w:pStyle w:val="ListBullet"/>
            </w:pPr>
            <w:r w:rsidRPr="00FD7F74">
              <w:t xml:space="preserve">Professional Association of Diving Instructors (PADI) </w:t>
            </w:r>
          </w:p>
          <w:p w:rsidR="00000000" w:rsidP="00FD7F74">
            <w:pPr>
              <w:pStyle w:val="ListBullet"/>
              <w:rPr>
                <w:lang w:val="en-NZ"/>
              </w:rPr>
            </w:pPr>
            <w:r w:rsidRPr="00FD7F74">
              <w:t>SCUBA Schools International (SSI).</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Relevant legislation</w:t>
            </w:r>
            <w:r w:rsidRPr="00FD7F74">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occupational health and safety</w:t>
            </w:r>
          </w:p>
          <w:p w:rsidR="00000000" w:rsidRPr="00FD7F74" w:rsidP="00FD7F74">
            <w:pPr>
              <w:pStyle w:val="ListBullet"/>
            </w:pPr>
            <w:r w:rsidRPr="00FD7F74">
              <w:t xml:space="preserve">permits or permission for access </w:t>
            </w:r>
          </w:p>
          <w:p w:rsidR="00000000" w:rsidRPr="00FD7F74" w:rsidP="00FD7F74">
            <w:pPr>
              <w:pStyle w:val="ListBullet"/>
            </w:pPr>
            <w:r w:rsidRPr="00FD7F74">
              <w:t>environmental regulations</w:t>
            </w:r>
          </w:p>
          <w:p w:rsidR="00000000" w:rsidP="00FD7F74">
            <w:pPr>
              <w:pStyle w:val="ListBullet"/>
              <w:rPr>
                <w:lang w:val="en-NZ"/>
              </w:rPr>
            </w:pPr>
            <w:r w:rsidRPr="00FD7F74">
              <w:t>marine regulations.</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Organisational policies and procedures</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 xml:space="preserve">occupational health and safety </w:t>
            </w:r>
          </w:p>
          <w:p w:rsidR="00000000" w:rsidRPr="00FD7F74" w:rsidP="00FD7F74">
            <w:pPr>
              <w:pStyle w:val="ListBullet"/>
            </w:pPr>
            <w:r w:rsidRPr="00FD7F74">
              <w:t>communication protocols</w:t>
            </w:r>
          </w:p>
          <w:p w:rsidR="00000000" w:rsidRPr="00FD7F74" w:rsidP="00FD7F74">
            <w:pPr>
              <w:pStyle w:val="ListBullet"/>
            </w:pPr>
            <w:r w:rsidRPr="00FD7F74">
              <w:t>EANx dive and gas plans</w:t>
            </w:r>
          </w:p>
          <w:p w:rsidR="00000000" w:rsidRPr="00FD7F74" w:rsidP="00FD7F74">
            <w:pPr>
              <w:pStyle w:val="ListBullet"/>
            </w:pPr>
            <w:r w:rsidRPr="00FD7F74">
              <w:t>code of ethics</w:t>
            </w:r>
          </w:p>
          <w:p w:rsidR="00000000" w:rsidRPr="00FD7F74" w:rsidP="00FD7F74">
            <w:pPr>
              <w:pStyle w:val="ListBullet"/>
            </w:pPr>
            <w:r w:rsidRPr="00FD7F74">
              <w:t>manufacturer's recommendations</w:t>
            </w:r>
          </w:p>
          <w:p w:rsidR="00000000" w:rsidRPr="00FD7F74" w:rsidP="00FD7F74">
            <w:pPr>
              <w:pStyle w:val="ListBullet"/>
            </w:pPr>
            <w:r w:rsidRPr="00FD7F74">
              <w:t>minimal impact codes</w:t>
            </w:r>
          </w:p>
          <w:p w:rsidR="00000000" w:rsidP="00FD7F74">
            <w:pPr>
              <w:pStyle w:val="ListBullet"/>
              <w:rPr>
                <w:lang w:val="en-NZ"/>
              </w:rPr>
            </w:pPr>
            <w:r w:rsidRPr="00FD7F74">
              <w:t>EANx criteria.</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Blend and equipment</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 xml:space="preserve">cylinder </w:t>
            </w:r>
          </w:p>
          <w:p w:rsidR="00000000" w:rsidRPr="00FD7F74" w:rsidP="00FD7F74">
            <w:pPr>
              <w:pStyle w:val="ListBullet"/>
            </w:pPr>
            <w:r w:rsidRPr="00FD7F74">
              <w:t xml:space="preserve">regulator </w:t>
            </w:r>
          </w:p>
          <w:p w:rsidR="00000000" w:rsidRPr="00FD7F74" w:rsidP="00FD7F74">
            <w:pPr>
              <w:pStyle w:val="ListBullet"/>
            </w:pPr>
            <w:r w:rsidRPr="00FD7F74">
              <w:t xml:space="preserve">gauges and accessories </w:t>
            </w:r>
          </w:p>
          <w:p w:rsidR="00000000" w:rsidRPr="00FD7F74" w:rsidP="00FD7F74">
            <w:pPr>
              <w:pStyle w:val="ListBullet"/>
            </w:pPr>
            <w:r w:rsidRPr="00FD7F74">
              <w:t xml:space="preserve">valves </w:t>
            </w:r>
          </w:p>
          <w:p w:rsidR="00000000" w:rsidRPr="00FD7F74" w:rsidP="00FD7F74">
            <w:pPr>
              <w:pStyle w:val="ListBullet"/>
            </w:pPr>
            <w:r w:rsidRPr="00FD7F74">
              <w:t xml:space="preserve">oxygen compatibility or clean </w:t>
            </w:r>
          </w:p>
          <w:p w:rsidR="00000000" w:rsidRPr="00FD7F74" w:rsidP="00FD7F74">
            <w:pPr>
              <w:pStyle w:val="ListBullet"/>
            </w:pPr>
            <w:r w:rsidRPr="00FD7F74">
              <w:t xml:space="preserve">labelling </w:t>
            </w:r>
          </w:p>
          <w:p w:rsidR="00000000" w:rsidP="00FD7F74">
            <w:pPr>
              <w:pStyle w:val="ListBullet"/>
              <w:rPr>
                <w:lang w:val="en-NZ"/>
              </w:rPr>
            </w:pPr>
            <w:r w:rsidRPr="00FD7F74">
              <w:t>blend analysis.</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Pre dive checks</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 xml:space="preserve">dive and gas plans </w:t>
            </w:r>
          </w:p>
          <w:p w:rsidR="00000000" w:rsidRPr="00FD7F74" w:rsidP="00FD7F74">
            <w:pPr>
              <w:pStyle w:val="ListBullet"/>
            </w:pPr>
            <w:r w:rsidRPr="00FD7F74">
              <w:t xml:space="preserve">the maximum depth for the breathing gas and loss of breathing gas procedures </w:t>
            </w:r>
          </w:p>
          <w:p w:rsidR="00000000" w:rsidP="00FD7F74">
            <w:pPr>
              <w:pStyle w:val="ListBullet"/>
              <w:rPr>
                <w:lang w:val="en-NZ"/>
              </w:rPr>
            </w:pPr>
            <w:r w:rsidRPr="00FD7F74">
              <w:t xml:space="preserve">buddy separation procedures. </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Maintenance</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 xml:space="preserve">cylinder specifications </w:t>
            </w:r>
          </w:p>
          <w:p w:rsidR="00000000" w:rsidRPr="00FD7F74" w:rsidP="00FD7F74">
            <w:pPr>
              <w:pStyle w:val="ListBullet"/>
            </w:pPr>
            <w:r w:rsidRPr="00FD7F74">
              <w:t xml:space="preserve">coding </w:t>
            </w:r>
          </w:p>
          <w:p w:rsidR="00000000" w:rsidRPr="00FD7F74" w:rsidP="00FD7F74">
            <w:pPr>
              <w:pStyle w:val="ListBullet"/>
            </w:pPr>
            <w:r w:rsidRPr="00FD7F74">
              <w:t xml:space="preserve">stamping </w:t>
            </w:r>
          </w:p>
          <w:p w:rsidR="00000000" w:rsidRPr="00FD7F74" w:rsidP="00FD7F74">
            <w:pPr>
              <w:pStyle w:val="ListBullet"/>
            </w:pPr>
            <w:r w:rsidRPr="00FD7F74">
              <w:t>safety log</w:t>
            </w:r>
          </w:p>
          <w:p w:rsidR="00000000" w:rsidP="00FD7F74">
            <w:pPr>
              <w:pStyle w:val="ListBullet"/>
              <w:rPr>
                <w:lang w:val="en-NZ"/>
              </w:rPr>
            </w:pPr>
            <w:r w:rsidRPr="00FD7F74">
              <w:t>oxygen cleaning of equipment.</w:t>
            </w:r>
          </w:p>
        </w:tc>
      </w:tr>
      <w:tr w:rsidTr="00A920E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FD7F74">
            <w:pPr>
              <w:pStyle w:val="BodyText"/>
              <w:rPr>
                <w:lang w:val="en-NZ"/>
              </w:rPr>
            </w:pPr>
            <w:r w:rsidRPr="00FD7F74">
              <w:rPr>
                <w:rStyle w:val="BoldandItalics"/>
              </w:rPr>
              <w:t>Relevant aspects</w:t>
            </w:r>
            <w:r w:rsidRPr="00FD7F7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FD7F74" w:rsidP="00FD7F74">
            <w:pPr>
              <w:pStyle w:val="ListBullet"/>
            </w:pPr>
            <w:r w:rsidRPr="00FD7F74">
              <w:t>objectives</w:t>
            </w:r>
          </w:p>
          <w:p w:rsidR="00000000" w:rsidRPr="00FD7F74" w:rsidP="00FD7F74">
            <w:pPr>
              <w:pStyle w:val="ListBullet"/>
            </w:pPr>
            <w:r w:rsidRPr="00FD7F74">
              <w:t>planning process</w:t>
            </w:r>
          </w:p>
          <w:p w:rsidR="00000000" w:rsidRPr="00FD7F74" w:rsidP="00FD7F74">
            <w:pPr>
              <w:pStyle w:val="ListBullet"/>
            </w:pPr>
            <w:r w:rsidRPr="00FD7F74">
              <w:t>activity site</w:t>
            </w:r>
          </w:p>
          <w:p w:rsidR="00000000" w:rsidRPr="00FD7F74" w:rsidP="00FD7F74">
            <w:pPr>
              <w:pStyle w:val="ListBullet"/>
            </w:pPr>
            <w:r w:rsidRPr="00FD7F74">
              <w:t>weather</w:t>
            </w:r>
          </w:p>
          <w:p w:rsidR="00000000" w:rsidRPr="00FD7F74" w:rsidP="00FD7F74">
            <w:pPr>
              <w:pStyle w:val="ListBullet"/>
            </w:pPr>
            <w:r w:rsidRPr="00FD7F74">
              <w:t>equipment selection</w:t>
            </w:r>
          </w:p>
          <w:p w:rsidR="00000000" w:rsidRPr="00FD7F74" w:rsidP="00FD7F74">
            <w:pPr>
              <w:pStyle w:val="ListBullet"/>
            </w:pPr>
            <w:r w:rsidRPr="00FD7F74">
              <w:t>clothing selection</w:t>
            </w:r>
          </w:p>
          <w:p w:rsidR="00000000" w:rsidRPr="00FD7F74" w:rsidP="00FD7F74">
            <w:pPr>
              <w:pStyle w:val="ListBullet"/>
            </w:pPr>
            <w:r w:rsidRPr="00FD7F74">
              <w:t>food selection</w:t>
            </w:r>
          </w:p>
          <w:p w:rsidR="00000000" w:rsidRPr="00FD7F74" w:rsidP="00FD7F74">
            <w:pPr>
              <w:pStyle w:val="ListBullet"/>
            </w:pPr>
            <w:r w:rsidRPr="00FD7F74">
              <w:t>instructional content</w:t>
            </w:r>
          </w:p>
          <w:p w:rsidR="00000000" w:rsidRPr="00FD7F74" w:rsidP="00FD7F74">
            <w:pPr>
              <w:pStyle w:val="ListBullet"/>
            </w:pPr>
            <w:r w:rsidRPr="00FD7F74">
              <w:t>instructional technique</w:t>
            </w:r>
          </w:p>
          <w:p w:rsidR="00000000" w:rsidRPr="00FD7F74" w:rsidP="00FD7F74">
            <w:pPr>
              <w:pStyle w:val="ListBullet"/>
            </w:pPr>
            <w:r w:rsidRPr="00FD7F74">
              <w:t>assessment technique</w:t>
            </w:r>
          </w:p>
          <w:p w:rsidR="00000000" w:rsidRPr="00FD7F74" w:rsidP="00FD7F74">
            <w:pPr>
              <w:pStyle w:val="ListBullet"/>
            </w:pPr>
            <w:r w:rsidRPr="00FD7F74">
              <w:t>group feedback</w:t>
            </w:r>
          </w:p>
          <w:p w:rsidR="00000000" w:rsidRPr="00FD7F74" w:rsidP="00FD7F74">
            <w:pPr>
              <w:pStyle w:val="ListBullet"/>
            </w:pPr>
            <w:r w:rsidRPr="00FD7F74">
              <w:t>directing techniques</w:t>
            </w:r>
          </w:p>
          <w:p w:rsidR="00000000" w:rsidRPr="00FD7F74" w:rsidP="00FD7F74">
            <w:pPr>
              <w:pStyle w:val="ListBullet"/>
            </w:pPr>
            <w:r w:rsidRPr="00FD7F74">
              <w:t>rescue techniques employed.</w:t>
            </w:r>
          </w:p>
        </w:tc>
      </w:tr>
    </w:tbl>
    <w:p w:rsidR="00000000" w:rsidRPr="00FD7F74" w:rsidP="00FD7F74">
      <w:pPr>
        <w:pStyle w:val="BodyText"/>
      </w:pPr>
    </w:p>
    <w:p w:rsidR="00000000" w:rsidRPr="00FD7F74" w:rsidP="00FD7F74">
      <w:pPr>
        <w:pStyle w:val="AllowPageBreak"/>
      </w:pPr>
    </w:p>
    <w:p w:rsidR="00000000" w:rsidRPr="00FD7F74" w:rsidP="00FD7F74">
      <w:pPr>
        <w:pStyle w:val="Heading1"/>
      </w:pPr>
      <w:bookmarkStart w:id="12" w:name="O_367475"/>
      <w:bookmarkEnd w:id="12"/>
      <w:r w:rsidRPr="00FD7F74">
        <w:t>Unit Sector(s)</w:t>
      </w:r>
    </w:p>
    <w:p w:rsidR="00000000" w:rsidRPr="00FD7F74" w:rsidP="00FD7F74">
      <w:pPr>
        <w:pStyle w:val="BodyText"/>
      </w:pPr>
      <w:r w:rsidRPr="00FD7F74">
        <w:t>Outdoor Recreation</w:t>
      </w:r>
    </w:p>
    <w:p w:rsidR="00000000" w:rsidRPr="00FD7F74" w:rsidP="00FD7F74">
      <w:pPr>
        <w:pStyle w:val="AllowPageBreak"/>
      </w:pPr>
    </w:p>
    <w:p w:rsidR="00000000" w:rsidRPr="00FD7F74" w:rsidP="00FD7F74">
      <w:pPr>
        <w:pStyle w:val="Heading1"/>
      </w:pPr>
      <w:bookmarkStart w:id="13" w:name="O_390007"/>
      <w:bookmarkEnd w:id="13"/>
      <w:r w:rsidRPr="00FD7F74">
        <w:t>Competency Field</w:t>
      </w:r>
    </w:p>
    <w:p w:rsidR="00000000" w:rsidRPr="00FD7F74" w:rsidP="00FD7F74">
      <w:pPr>
        <w:pStyle w:val="BodyText"/>
      </w:pPr>
      <w:r w:rsidRPr="00FD7F74">
        <w:t>SCUBA</w:t>
      </w:r>
    </w:p>
    <w:p w:rsidR="00000000" w:rsidRPr="00FD7F74" w:rsidP="00FD7F74"/>
    <w:sectPr w:rsidSect="00FD7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0EA" w:rsidP="00A92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EA" w:rsidP="00FD7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20EA" w:rsidP="00FD7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920EA" w:rsidP="00FD7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0EA" w:rsidP="00A920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EA" w:rsidP="00FD7F74">
    <w:pPr>
      <w:pStyle w:val="Header"/>
      <w:framePr w:wrap="around"/>
    </w:pPr>
    <w:r>
      <w:fldChar w:fldCharType="begin"/>
    </w:r>
    <w:r>
      <w:instrText xml:space="preserve"> TITLE   \* MERGEFORMAT </w:instrText>
    </w:r>
    <w:r>
      <w:fldChar w:fldCharType="separate"/>
    </w:r>
    <w:r>
      <w:t>SISOSCB317A Complete a dive using Enriched Air Nitrox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20EA" w:rsidP="00FD7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28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A2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48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F74"/>
    <w:pPr>
      <w:spacing w:before="360" w:after="60"/>
      <w:outlineLvl w:val="0"/>
    </w:pPr>
    <w:rPr>
      <w:sz w:val="32"/>
    </w:rPr>
  </w:style>
  <w:style w:type="paragraph" w:styleId="Heading2">
    <w:name w:val="heading 2"/>
    <w:basedOn w:val="HeadingBase"/>
    <w:next w:val="BodyText"/>
    <w:link w:val="Heading2Char"/>
    <w:qFormat/>
    <w:rsid w:val="00FD7F74"/>
    <w:pPr>
      <w:keepLines/>
      <w:spacing w:before="240" w:after="120"/>
      <w:outlineLvl w:val="1"/>
    </w:pPr>
    <w:rPr>
      <w:sz w:val="28"/>
      <w:szCs w:val="40"/>
    </w:rPr>
  </w:style>
  <w:style w:type="paragraph" w:styleId="Heading3">
    <w:name w:val="heading 3"/>
    <w:basedOn w:val="HeadingBase"/>
    <w:next w:val="BodyText"/>
    <w:link w:val="Heading3Char"/>
    <w:qFormat/>
    <w:rsid w:val="00FD7F74"/>
    <w:pPr>
      <w:spacing w:before="180" w:after="120"/>
      <w:outlineLvl w:val="2"/>
    </w:pPr>
    <w:rPr>
      <w:spacing w:val="-10"/>
      <w:kern w:val="32"/>
    </w:rPr>
  </w:style>
  <w:style w:type="paragraph" w:styleId="Heading4">
    <w:name w:val="heading 4"/>
    <w:basedOn w:val="HeadingBase"/>
    <w:next w:val="BodyText"/>
    <w:link w:val="Heading4Char"/>
    <w:qFormat/>
    <w:rsid w:val="00FD7F74"/>
    <w:pPr>
      <w:spacing w:before="160" w:after="120"/>
      <w:outlineLvl w:val="3"/>
    </w:pPr>
    <w:rPr>
      <w:sz w:val="22"/>
    </w:rPr>
  </w:style>
  <w:style w:type="paragraph" w:styleId="Heading5">
    <w:name w:val="heading 5"/>
    <w:basedOn w:val="HeadingBase"/>
    <w:next w:val="Normal"/>
    <w:link w:val="Heading5Char"/>
    <w:qFormat/>
    <w:rsid w:val="00FD7F74"/>
    <w:pPr>
      <w:spacing w:before="80"/>
      <w:outlineLvl w:val="4"/>
    </w:pPr>
    <w:rPr>
      <w:color w:val="918585"/>
      <w:sz w:val="20"/>
    </w:rPr>
  </w:style>
  <w:style w:type="paragraph" w:styleId="Heading6">
    <w:name w:val="heading 6"/>
    <w:basedOn w:val="HeadingBase"/>
    <w:next w:val="Normal"/>
    <w:link w:val="Heading6Char"/>
    <w:qFormat/>
    <w:rsid w:val="00FD7F74"/>
    <w:pPr>
      <w:spacing w:before="60"/>
      <w:outlineLvl w:val="5"/>
    </w:pPr>
    <w:rPr>
      <w:color w:val="918585"/>
      <w:sz w:val="20"/>
    </w:rPr>
  </w:style>
  <w:style w:type="paragraph" w:styleId="Heading7">
    <w:name w:val="heading 7"/>
    <w:basedOn w:val="Normal"/>
    <w:next w:val="Normal"/>
    <w:link w:val="Heading7Char"/>
    <w:qFormat/>
    <w:rsid w:val="00FD7F74"/>
    <w:pPr>
      <w:ind w:left="720"/>
      <w:outlineLvl w:val="6"/>
    </w:pPr>
    <w:rPr>
      <w:i/>
    </w:rPr>
  </w:style>
  <w:style w:type="paragraph" w:styleId="Heading8">
    <w:name w:val="heading 8"/>
    <w:basedOn w:val="Normal"/>
    <w:next w:val="Normal"/>
    <w:link w:val="Heading8Char"/>
    <w:qFormat/>
    <w:rsid w:val="00FD7F74"/>
    <w:pPr>
      <w:ind w:left="720"/>
      <w:outlineLvl w:val="7"/>
    </w:pPr>
    <w:rPr>
      <w:i/>
    </w:rPr>
  </w:style>
  <w:style w:type="paragraph" w:styleId="Heading9">
    <w:name w:val="heading 9"/>
    <w:basedOn w:val="Normal"/>
    <w:next w:val="Normal"/>
    <w:link w:val="Heading9Char"/>
    <w:qFormat/>
    <w:rsid w:val="00FD7F74"/>
    <w:pPr>
      <w:ind w:left="720"/>
      <w:outlineLvl w:val="8"/>
    </w:pPr>
    <w:rPr>
      <w:i/>
    </w:rPr>
  </w:style>
  <w:style w:type="character" w:default="1" w:styleId="DefaultParagraphFont">
    <w:name w:val="Default Paragraph Font"/>
    <w:uiPriority w:val="1"/>
    <w:unhideWhenUsed/>
    <w:rsid w:val="00FD7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F74"/>
  </w:style>
  <w:style w:type="character" w:customStyle="1" w:styleId="Heading1Char">
    <w:name w:val="Heading 1 Char"/>
    <w:basedOn w:val="DefaultParagraphFont"/>
    <w:link w:val="Heading1"/>
    <w:rsid w:val="00FD7F74"/>
    <w:rPr>
      <w:rFonts w:ascii="Times New Roman" w:eastAsia="Times New Roman" w:hAnsi="Times New Roman" w:cs="Times New Roman"/>
      <w:b/>
      <w:sz w:val="32"/>
      <w:szCs w:val="20"/>
      <w:lang w:eastAsia="en-US"/>
    </w:rPr>
  </w:style>
  <w:style w:type="paragraph" w:styleId="BodyText">
    <w:name w:val="Body Text"/>
    <w:basedOn w:val="Normal"/>
    <w:link w:val="BodyTextChar"/>
    <w:rsid w:val="00FD7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F74"/>
    <w:rPr>
      <w:rFonts w:ascii="Times New Roman" w:eastAsia="Times New Roman" w:hAnsi="Times New Roman" w:cs="Times New Roman"/>
      <w:sz w:val="24"/>
      <w:lang w:val="en-US" w:eastAsia="en-US"/>
    </w:rPr>
  </w:style>
  <w:style w:type="paragraph" w:styleId="Footer">
    <w:name w:val="footer"/>
    <w:basedOn w:val="Normal"/>
    <w:link w:val="FooterChar"/>
    <w:rsid w:val="00FD7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F74"/>
    <w:rPr>
      <w:rFonts w:ascii="Times New Roman" w:eastAsia="Times New Roman" w:hAnsi="Times New Roman" w:cs="Times New Roman"/>
      <w:sz w:val="16"/>
      <w:lang w:val="en-US" w:eastAsia="en-US"/>
    </w:rPr>
  </w:style>
  <w:style w:type="paragraph" w:styleId="List">
    <w:name w:val="List"/>
    <w:basedOn w:val="BodyText"/>
    <w:next w:val="BodyText"/>
    <w:rsid w:val="00FD7F74"/>
    <w:pPr>
      <w:tabs>
        <w:tab w:val="left" w:pos="340"/>
      </w:tabs>
      <w:spacing w:before="60" w:after="60"/>
      <w:ind w:left="340" w:hanging="340"/>
    </w:pPr>
  </w:style>
  <w:style w:type="paragraph" w:styleId="ListBullet">
    <w:name w:val="List Bullet"/>
    <w:basedOn w:val="List"/>
    <w:rsid w:val="00FD7F74"/>
    <w:pPr>
      <w:numPr>
        <w:numId w:val="13"/>
      </w:numPr>
      <w:tabs>
        <w:tab w:val="clear" w:pos="340"/>
      </w:tabs>
      <w:spacing w:before="40" w:after="40"/>
    </w:pPr>
  </w:style>
  <w:style w:type="character" w:customStyle="1" w:styleId="SpecialBold">
    <w:name w:val="Special Bold"/>
    <w:basedOn w:val="DefaultParagraphFont"/>
    <w:rsid w:val="00FD7F74"/>
    <w:rPr>
      <w:b/>
      <w:spacing w:val="0"/>
    </w:rPr>
  </w:style>
  <w:style w:type="paragraph" w:styleId="ListBullet2">
    <w:name w:val="List Bullet 2"/>
    <w:basedOn w:val="List2"/>
    <w:rsid w:val="00FD7F74"/>
    <w:pPr>
      <w:numPr>
        <w:numId w:val="14"/>
      </w:numPr>
      <w:tabs>
        <w:tab w:val="clear" w:pos="680"/>
      </w:tabs>
    </w:pPr>
  </w:style>
  <w:style w:type="paragraph" w:styleId="Header">
    <w:name w:val="header"/>
    <w:basedOn w:val="Normal"/>
    <w:link w:val="HeaderChar"/>
    <w:rsid w:val="00FD7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F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F74"/>
    <w:pPr>
      <w:spacing w:before="240" w:after="120"/>
      <w:outlineLvl w:val="0"/>
    </w:pPr>
    <w:rPr>
      <w:rFonts w:ascii="Times New Roman" w:hAnsi="Times New Roman"/>
      <w:b/>
      <w:sz w:val="28"/>
    </w:rPr>
  </w:style>
  <w:style w:type="paragraph" w:customStyle="1" w:styleId="AllowPageBreak">
    <w:name w:val="AllowPageBreak"/>
    <w:rsid w:val="00FD7F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F74"/>
    <w:pPr>
      <w:tabs>
        <w:tab w:val="left" w:pos="680"/>
      </w:tabs>
      <w:spacing w:before="60" w:after="60"/>
      <w:ind w:left="680" w:hanging="340"/>
    </w:pPr>
  </w:style>
  <w:style w:type="character" w:customStyle="1" w:styleId="BoldandItalics">
    <w:name w:val="Bold and Italics"/>
    <w:qFormat/>
    <w:rsid w:val="00FD7F74"/>
    <w:rPr>
      <w:b/>
      <w:i/>
      <w:u w:val="none"/>
    </w:rPr>
  </w:style>
  <w:style w:type="character" w:customStyle="1" w:styleId="Heading2Char">
    <w:name w:val="Heading 2 Char"/>
    <w:basedOn w:val="DefaultParagraphFont"/>
    <w:link w:val="Heading2"/>
    <w:rsid w:val="00FD7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F74"/>
    <w:rPr>
      <w:rFonts w:ascii="Courier New" w:eastAsia="Times New Roman" w:hAnsi="Courier New" w:cs="Times New Roman"/>
      <w:i/>
      <w:szCs w:val="20"/>
      <w:lang w:val="en-US" w:eastAsia="en-US"/>
    </w:rPr>
  </w:style>
  <w:style w:type="paragraph" w:customStyle="1" w:styleId="HeadingBase">
    <w:name w:val="Heading Base"/>
    <w:rsid w:val="00FD7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F74"/>
    <w:pPr>
      <w:tabs>
        <w:tab w:val="right" w:leader="dot" w:pos="9072"/>
      </w:tabs>
      <w:ind w:left="567"/>
    </w:pPr>
    <w:rPr>
      <w:szCs w:val="22"/>
    </w:rPr>
  </w:style>
  <w:style w:type="paragraph" w:customStyle="1" w:styleId="TOCBase">
    <w:name w:val="TOC Base"/>
    <w:rsid w:val="00FD7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F74"/>
    <w:pPr>
      <w:tabs>
        <w:tab w:val="right" w:leader="dot" w:pos="9072"/>
      </w:tabs>
      <w:spacing w:before="40" w:after="40"/>
      <w:ind w:left="284"/>
    </w:pPr>
    <w:rPr>
      <w:rFonts w:ascii="Times New Roman" w:hAnsi="Times New Roman"/>
    </w:rPr>
  </w:style>
  <w:style w:type="paragraph" w:styleId="TOC1">
    <w:name w:val="toc 1"/>
    <w:basedOn w:val="TOCBase"/>
    <w:next w:val="Normal"/>
    <w:rsid w:val="00FD7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F74"/>
    <w:pPr>
      <w:spacing w:before="5040"/>
      <w:jc w:val="center"/>
    </w:pPr>
    <w:rPr>
      <w:sz w:val="48"/>
      <w:szCs w:val="72"/>
      <w:lang w:val="en-US"/>
    </w:rPr>
  </w:style>
  <w:style w:type="character" w:customStyle="1" w:styleId="TitleChar">
    <w:name w:val="Title Char"/>
    <w:basedOn w:val="DefaultParagraphFont"/>
    <w:link w:val="Title"/>
    <w:rsid w:val="00FD7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F74"/>
    <w:pPr>
      <w:tabs>
        <w:tab w:val="left" w:pos="3600"/>
        <w:tab w:val="left" w:pos="3958"/>
      </w:tabs>
    </w:pPr>
  </w:style>
  <w:style w:type="paragraph" w:customStyle="1" w:styleId="Note">
    <w:name w:val="Note"/>
    <w:basedOn w:val="BodyText"/>
    <w:rsid w:val="00FD7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F74"/>
    <w:pPr>
      <w:framePr w:wrap="auto" w:hAnchor="text" w:y="6049"/>
    </w:pPr>
    <w:rPr>
      <w:color w:val="000000"/>
      <w:sz w:val="40"/>
    </w:rPr>
  </w:style>
  <w:style w:type="paragraph" w:customStyle="1" w:styleId="TOCTitle">
    <w:name w:val="TOCTitle"/>
    <w:basedOn w:val="Heading1"/>
    <w:rsid w:val="00FD7F74"/>
    <w:pPr>
      <w:spacing w:after="240"/>
      <w:jc w:val="center"/>
      <w:outlineLvl w:val="9"/>
    </w:pPr>
    <w:rPr>
      <w:caps/>
    </w:rPr>
  </w:style>
  <w:style w:type="paragraph" w:customStyle="1" w:styleId="Version">
    <w:name w:val="Version"/>
    <w:rsid w:val="00FD7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F74"/>
    <w:pPr>
      <w:keepNext w:val="0"/>
      <w:tabs>
        <w:tab w:val="right" w:pos="4176"/>
      </w:tabs>
      <w:ind w:left="198" w:hanging="198"/>
    </w:pPr>
    <w:rPr>
      <w:rFonts w:ascii="Garamond" w:hAnsi="Garamond"/>
    </w:rPr>
  </w:style>
  <w:style w:type="paragraph" w:styleId="IndexHeading">
    <w:name w:val="index heading"/>
    <w:basedOn w:val="Normal"/>
    <w:next w:val="Index1"/>
    <w:semiHidden/>
    <w:rsid w:val="00FD7F74"/>
    <w:pPr>
      <w:spacing w:before="120" w:after="120"/>
    </w:pPr>
    <w:rPr>
      <w:rFonts w:ascii="Arial" w:hAnsi="Arial"/>
      <w:b/>
      <w:color w:val="918585"/>
      <w:sz w:val="24"/>
    </w:rPr>
  </w:style>
  <w:style w:type="paragraph" w:customStyle="1" w:styleId="Chapter">
    <w:name w:val="Chapter"/>
    <w:basedOn w:val="Normal"/>
    <w:rsid w:val="00FD7F74"/>
    <w:pPr>
      <w:spacing w:before="240"/>
    </w:pPr>
    <w:rPr>
      <w:rFonts w:ascii="Times New Roman" w:hAnsi="Times New Roman"/>
      <w:smallCaps/>
      <w:spacing w:val="80"/>
      <w:sz w:val="28"/>
    </w:rPr>
  </w:style>
  <w:style w:type="paragraph" w:customStyle="1" w:styleId="InChapter">
    <w:name w:val="InChapter"/>
    <w:basedOn w:val="Heading3"/>
    <w:rsid w:val="00FD7F74"/>
    <w:pPr>
      <w:spacing w:after="240"/>
      <w:outlineLvl w:val="9"/>
    </w:pPr>
    <w:rPr>
      <w:noProof/>
    </w:rPr>
  </w:style>
  <w:style w:type="paragraph" w:styleId="Index2">
    <w:name w:val="index 2"/>
    <w:basedOn w:val="Normal"/>
    <w:next w:val="Normal"/>
    <w:semiHidden/>
    <w:rsid w:val="00FD7F74"/>
    <w:pPr>
      <w:tabs>
        <w:tab w:val="right" w:pos="4176"/>
      </w:tabs>
      <w:ind w:left="568" w:hanging="284"/>
    </w:pPr>
    <w:rPr>
      <w:rFonts w:ascii="Garamond" w:hAnsi="Garamond"/>
    </w:rPr>
  </w:style>
  <w:style w:type="paragraph" w:customStyle="1" w:styleId="Byline">
    <w:name w:val="Byline"/>
    <w:rsid w:val="00FD7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F74"/>
    <w:pPr>
      <w:tabs>
        <w:tab w:val="clear" w:pos="3600"/>
        <w:tab w:val="clear" w:pos="3958"/>
      </w:tabs>
      <w:jc w:val="right"/>
    </w:pPr>
  </w:style>
  <w:style w:type="character" w:styleId="Emphasis">
    <w:name w:val="Emphasis"/>
    <w:basedOn w:val="DefaultParagraphFont"/>
    <w:qFormat/>
    <w:rsid w:val="00FD7F74"/>
    <w:rPr>
      <w:i/>
    </w:rPr>
  </w:style>
  <w:style w:type="paragraph" w:styleId="Caption">
    <w:name w:val="caption"/>
    <w:basedOn w:val="BodyText"/>
    <w:next w:val="Normal"/>
    <w:qFormat/>
    <w:rsid w:val="00FD7F74"/>
    <w:pPr>
      <w:framePr w:w="2268" w:hSpace="181" w:vSpace="181" w:wrap="around" w:vAnchor="text" w:hAnchor="page" w:x="1135" w:y="285" w:anchorLock="1"/>
    </w:pPr>
    <w:rPr>
      <w:i/>
    </w:rPr>
  </w:style>
  <w:style w:type="paragraph" w:customStyle="1" w:styleId="MiniTOCTitle">
    <w:name w:val="MiniTOCTitle"/>
    <w:basedOn w:val="Heading4"/>
    <w:rsid w:val="00FD7F74"/>
    <w:pPr>
      <w:spacing w:before="240"/>
      <w:outlineLvl w:val="9"/>
    </w:pPr>
    <w:rPr>
      <w:noProof/>
      <w:sz w:val="24"/>
    </w:rPr>
  </w:style>
  <w:style w:type="paragraph" w:customStyle="1" w:styleId="MiniTOCItem">
    <w:name w:val="MiniTOCItem"/>
    <w:basedOn w:val="ListBullet"/>
    <w:rsid w:val="00FD7F74"/>
    <w:pPr>
      <w:numPr>
        <w:numId w:val="0"/>
      </w:numPr>
      <w:tabs>
        <w:tab w:val="right" w:leader="dot" w:pos="6521"/>
      </w:tabs>
      <w:spacing w:before="0" w:after="0"/>
    </w:pPr>
  </w:style>
  <w:style w:type="paragraph" w:customStyle="1" w:styleId="TOFTitle">
    <w:name w:val="TOFTitle"/>
    <w:basedOn w:val="TOCTitle"/>
    <w:rsid w:val="00FD7F74"/>
  </w:style>
  <w:style w:type="paragraph" w:styleId="TableofFigures">
    <w:name w:val="table of figures"/>
    <w:basedOn w:val="Normal"/>
    <w:next w:val="Normal"/>
    <w:semiHidden/>
    <w:rsid w:val="00FD7F74"/>
    <w:pPr>
      <w:tabs>
        <w:tab w:val="right" w:leader="dot" w:pos="9072"/>
      </w:tabs>
      <w:ind w:left="970" w:hanging="403"/>
    </w:pPr>
    <w:rPr>
      <w:rFonts w:ascii="Times New Roman" w:hAnsi="Times New Roman"/>
      <w:b/>
    </w:rPr>
  </w:style>
  <w:style w:type="paragraph" w:styleId="ListNumber">
    <w:name w:val="List Number"/>
    <w:basedOn w:val="List"/>
    <w:rsid w:val="00FD7F74"/>
    <w:pPr>
      <w:numPr>
        <w:numId w:val="11"/>
      </w:numPr>
    </w:pPr>
  </w:style>
  <w:style w:type="character" w:customStyle="1" w:styleId="WingdingSymbols">
    <w:name w:val="Wingding Symbols"/>
    <w:rsid w:val="00FD7F74"/>
    <w:rPr>
      <w:rFonts w:ascii="Wingdings" w:hAnsi="Wingdings"/>
    </w:rPr>
  </w:style>
  <w:style w:type="paragraph" w:customStyle="1" w:styleId="TableHeading">
    <w:name w:val="Table Heading"/>
    <w:basedOn w:val="HeadingBase"/>
    <w:rsid w:val="00FD7F74"/>
    <w:pPr>
      <w:keepLines/>
      <w:pBdr>
        <w:bottom w:val="single" w:sz="6" w:space="1" w:color="918585"/>
      </w:pBdr>
      <w:spacing w:before="240"/>
    </w:pPr>
  </w:style>
  <w:style w:type="character" w:customStyle="1" w:styleId="HotSpot">
    <w:name w:val="HotSpot"/>
    <w:rsid w:val="00FD7F74"/>
    <w:rPr>
      <w:color w:val="0033CC"/>
      <w:u w:val="none"/>
    </w:rPr>
  </w:style>
  <w:style w:type="paragraph" w:customStyle="1" w:styleId="BodyTextRight">
    <w:name w:val="Body Text Right"/>
    <w:basedOn w:val="BodyText"/>
    <w:rsid w:val="00FD7F74"/>
    <w:pPr>
      <w:spacing w:before="0" w:after="0"/>
      <w:jc w:val="right"/>
    </w:pPr>
  </w:style>
  <w:style w:type="paragraph" w:styleId="Index3">
    <w:name w:val="index 3"/>
    <w:basedOn w:val="ListNumber2"/>
    <w:next w:val="Normal"/>
    <w:semiHidden/>
    <w:rsid w:val="00FD7F74"/>
    <w:pPr>
      <w:numPr>
        <w:numId w:val="0"/>
      </w:numPr>
      <w:tabs>
        <w:tab w:val="right" w:leader="dot" w:pos="4176"/>
      </w:tabs>
    </w:pPr>
  </w:style>
  <w:style w:type="paragraph" w:styleId="ListNumber2">
    <w:name w:val="List Number 2"/>
    <w:basedOn w:val="List2"/>
    <w:rsid w:val="00FD7F74"/>
    <w:pPr>
      <w:numPr>
        <w:numId w:val="10"/>
      </w:numPr>
      <w:tabs>
        <w:tab w:val="clear" w:pos="1060"/>
      </w:tabs>
    </w:pPr>
  </w:style>
  <w:style w:type="paragraph" w:customStyle="1" w:styleId="MarginNote">
    <w:name w:val="Margin Note"/>
    <w:basedOn w:val="BodyText"/>
    <w:rsid w:val="00FD7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F74"/>
    <w:rPr>
      <w:sz w:val="32"/>
    </w:rPr>
  </w:style>
  <w:style w:type="paragraph" w:customStyle="1" w:styleId="HeadingProcedure">
    <w:name w:val="Heading Procedure"/>
    <w:basedOn w:val="HeadingBase"/>
    <w:next w:val="Normal"/>
    <w:rsid w:val="00FD7F74"/>
    <w:pPr>
      <w:tabs>
        <w:tab w:val="left" w:pos="0"/>
      </w:tabs>
      <w:spacing w:before="120" w:after="60"/>
    </w:pPr>
    <w:rPr>
      <w:i/>
      <w:color w:val="918585"/>
      <w:sz w:val="22"/>
    </w:rPr>
  </w:style>
  <w:style w:type="paragraph" w:customStyle="1" w:styleId="TableBodyText">
    <w:name w:val="Table Body Text"/>
    <w:basedOn w:val="BodyText"/>
    <w:rsid w:val="00FD7F74"/>
    <w:pPr>
      <w:spacing w:before="60" w:after="60"/>
    </w:pPr>
  </w:style>
  <w:style w:type="paragraph" w:styleId="ListContinue">
    <w:name w:val="List Continue"/>
    <w:basedOn w:val="List"/>
    <w:rsid w:val="00FD7F74"/>
    <w:pPr>
      <w:ind w:firstLine="0"/>
    </w:pPr>
  </w:style>
  <w:style w:type="paragraph" w:customStyle="1" w:styleId="ListNote">
    <w:name w:val="List Note"/>
    <w:basedOn w:val="List"/>
    <w:rsid w:val="00FD7F74"/>
    <w:pPr>
      <w:pBdr>
        <w:top w:val="single" w:sz="6" w:space="2" w:color="918585"/>
        <w:bottom w:val="single" w:sz="6" w:space="2" w:color="918585"/>
      </w:pBdr>
      <w:tabs>
        <w:tab w:val="left" w:pos="1021"/>
      </w:tabs>
      <w:ind w:firstLine="0"/>
    </w:pPr>
  </w:style>
  <w:style w:type="paragraph" w:customStyle="1" w:styleId="Warning">
    <w:name w:val="Warning"/>
    <w:basedOn w:val="BodyText"/>
    <w:rsid w:val="00FD7F74"/>
    <w:pPr>
      <w:shd w:val="clear" w:color="auto" w:fill="D9D9D9"/>
      <w:tabs>
        <w:tab w:val="left" w:pos="992"/>
      </w:tabs>
      <w:ind w:left="119" w:right="119"/>
    </w:pPr>
    <w:rPr>
      <w:sz w:val="20"/>
    </w:rPr>
  </w:style>
  <w:style w:type="paragraph" w:customStyle="1" w:styleId="MarginIcons">
    <w:name w:val="Margin Icons"/>
    <w:basedOn w:val="BodyText"/>
    <w:rsid w:val="00FD7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F74"/>
    <w:rPr>
      <w:rFonts w:ascii="Courier New" w:hAnsi="Courier New"/>
    </w:rPr>
  </w:style>
  <w:style w:type="paragraph" w:customStyle="1" w:styleId="NoteBullet">
    <w:name w:val="Note Bullet"/>
    <w:basedOn w:val="Note"/>
    <w:rsid w:val="00FD7F74"/>
    <w:pPr>
      <w:tabs>
        <w:tab w:val="clear" w:pos="680"/>
      </w:tabs>
      <w:spacing w:before="60" w:after="60"/>
    </w:pPr>
  </w:style>
  <w:style w:type="paragraph" w:customStyle="1" w:styleId="SubHeading2">
    <w:name w:val="SubHeading2"/>
    <w:basedOn w:val="HeadingBase"/>
    <w:rsid w:val="00FD7F74"/>
    <w:pPr>
      <w:spacing w:before="240" w:after="60"/>
    </w:pPr>
    <w:rPr>
      <w:sz w:val="20"/>
    </w:rPr>
  </w:style>
  <w:style w:type="paragraph" w:customStyle="1" w:styleId="SubHeading1">
    <w:name w:val="SubHeading1"/>
    <w:basedOn w:val="HeadingBase"/>
    <w:rsid w:val="00FD7F74"/>
    <w:pPr>
      <w:spacing w:before="240" w:after="60"/>
    </w:pPr>
    <w:rPr>
      <w:color w:val="918585"/>
      <w:sz w:val="22"/>
    </w:rPr>
  </w:style>
  <w:style w:type="paragraph" w:customStyle="1" w:styleId="SideHeading">
    <w:name w:val="Side Heading"/>
    <w:basedOn w:val="HeadingBase"/>
    <w:rsid w:val="00FD7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F74"/>
    <w:pPr>
      <w:numPr>
        <w:numId w:val="12"/>
      </w:numPr>
    </w:pPr>
  </w:style>
  <w:style w:type="paragraph" w:styleId="PlainText">
    <w:name w:val="Plain Text"/>
    <w:basedOn w:val="Normal"/>
    <w:link w:val="PlainTextChar"/>
    <w:rsid w:val="00FD7F74"/>
    <w:rPr>
      <w:sz w:val="20"/>
    </w:rPr>
  </w:style>
  <w:style w:type="character" w:customStyle="1" w:styleId="PlainTextChar">
    <w:name w:val="Plain Text Char"/>
    <w:basedOn w:val="DefaultParagraphFont"/>
    <w:link w:val="PlainText"/>
    <w:rsid w:val="00FD7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F74"/>
    <w:rPr>
      <w:b/>
      <w:smallCaps/>
    </w:rPr>
  </w:style>
  <w:style w:type="paragraph" w:customStyle="1" w:styleId="TableListNumber">
    <w:name w:val="Table List Number"/>
    <w:basedOn w:val="ListNumber"/>
    <w:rsid w:val="00FD7F74"/>
    <w:pPr>
      <w:numPr>
        <w:numId w:val="0"/>
      </w:numPr>
    </w:pPr>
  </w:style>
  <w:style w:type="paragraph" w:styleId="TOC4">
    <w:name w:val="toc 4"/>
    <w:basedOn w:val="TOCBase"/>
    <w:next w:val="Normal"/>
    <w:semiHidden/>
    <w:rsid w:val="00FD7F74"/>
    <w:pPr>
      <w:tabs>
        <w:tab w:val="right" w:leader="dot" w:pos="9071"/>
      </w:tabs>
      <w:ind w:left="1701"/>
    </w:pPr>
  </w:style>
  <w:style w:type="paragraph" w:customStyle="1" w:styleId="ListAlpha">
    <w:name w:val="List Alpha"/>
    <w:basedOn w:val="List"/>
    <w:rsid w:val="00FD7F74"/>
    <w:pPr>
      <w:numPr>
        <w:numId w:val="9"/>
      </w:numPr>
    </w:pPr>
  </w:style>
  <w:style w:type="paragraph" w:customStyle="1" w:styleId="ListAlpha2">
    <w:name w:val="List Alpha 2"/>
    <w:basedOn w:val="List2"/>
    <w:rsid w:val="00FD7F74"/>
    <w:pPr>
      <w:numPr>
        <w:numId w:val="8"/>
      </w:numPr>
    </w:pPr>
  </w:style>
  <w:style w:type="paragraph" w:styleId="List3">
    <w:name w:val="List 3"/>
    <w:basedOn w:val="BodyText"/>
    <w:rsid w:val="00FD7F74"/>
    <w:pPr>
      <w:tabs>
        <w:tab w:val="left" w:pos="1021"/>
      </w:tabs>
      <w:spacing w:before="60" w:after="60"/>
      <w:ind w:left="1020" w:hanging="340"/>
    </w:pPr>
  </w:style>
  <w:style w:type="paragraph" w:styleId="List4">
    <w:name w:val="List 4"/>
    <w:basedOn w:val="BodyText"/>
    <w:rsid w:val="00FD7F74"/>
    <w:pPr>
      <w:tabs>
        <w:tab w:val="left" w:pos="1361"/>
      </w:tabs>
      <w:spacing w:before="60" w:after="60"/>
      <w:ind w:left="1361" w:hanging="340"/>
    </w:pPr>
  </w:style>
  <w:style w:type="paragraph" w:styleId="List5">
    <w:name w:val="List 5"/>
    <w:basedOn w:val="BodyText"/>
    <w:rsid w:val="00FD7F74"/>
    <w:pPr>
      <w:tabs>
        <w:tab w:val="left" w:pos="1701"/>
      </w:tabs>
      <w:spacing w:before="60" w:after="60"/>
      <w:ind w:left="1701" w:hanging="340"/>
    </w:pPr>
  </w:style>
  <w:style w:type="paragraph" w:styleId="ListBullet3">
    <w:name w:val="List Bullet 3"/>
    <w:basedOn w:val="List3"/>
    <w:rsid w:val="00FD7F74"/>
    <w:pPr>
      <w:numPr>
        <w:numId w:val="15"/>
      </w:numPr>
      <w:tabs>
        <w:tab w:val="clear" w:pos="1021"/>
      </w:tabs>
      <w:ind w:left="1037" w:hanging="357"/>
    </w:pPr>
  </w:style>
  <w:style w:type="paragraph" w:styleId="ListBullet4">
    <w:name w:val="List Bullet 4"/>
    <w:basedOn w:val="List4"/>
    <w:rsid w:val="00FD7F74"/>
    <w:pPr>
      <w:numPr>
        <w:numId w:val="3"/>
      </w:numPr>
    </w:pPr>
  </w:style>
  <w:style w:type="paragraph" w:styleId="ListBullet5">
    <w:name w:val="List Bullet 5"/>
    <w:basedOn w:val="List5"/>
    <w:rsid w:val="00FD7F74"/>
    <w:pPr>
      <w:numPr>
        <w:numId w:val="4"/>
      </w:numPr>
    </w:pPr>
  </w:style>
  <w:style w:type="paragraph" w:styleId="ListContinue2">
    <w:name w:val="List Continue 2"/>
    <w:basedOn w:val="List2"/>
    <w:rsid w:val="00FD7F74"/>
    <w:pPr>
      <w:ind w:firstLine="0"/>
    </w:pPr>
  </w:style>
  <w:style w:type="paragraph" w:styleId="ListContinue3">
    <w:name w:val="List Continue 3"/>
    <w:basedOn w:val="List3"/>
    <w:rsid w:val="00FD7F74"/>
    <w:pPr>
      <w:ind w:left="1021" w:firstLine="0"/>
    </w:pPr>
  </w:style>
  <w:style w:type="paragraph" w:styleId="ListContinue4">
    <w:name w:val="List Continue 4"/>
    <w:basedOn w:val="List4"/>
    <w:rsid w:val="00FD7F74"/>
    <w:pPr>
      <w:ind w:firstLine="0"/>
    </w:pPr>
  </w:style>
  <w:style w:type="paragraph" w:styleId="ListContinue5">
    <w:name w:val="List Continue 5"/>
    <w:basedOn w:val="List5"/>
    <w:rsid w:val="00FD7F74"/>
    <w:pPr>
      <w:ind w:firstLine="0"/>
    </w:pPr>
  </w:style>
  <w:style w:type="paragraph" w:styleId="ListNumber3">
    <w:name w:val="List Number 3"/>
    <w:basedOn w:val="List3"/>
    <w:rsid w:val="00FD7F74"/>
    <w:pPr>
      <w:numPr>
        <w:numId w:val="5"/>
      </w:numPr>
    </w:pPr>
  </w:style>
  <w:style w:type="paragraph" w:styleId="ListNumber4">
    <w:name w:val="List Number 4"/>
    <w:basedOn w:val="List4"/>
    <w:rsid w:val="00FD7F74"/>
    <w:pPr>
      <w:numPr>
        <w:numId w:val="6"/>
      </w:numPr>
    </w:pPr>
  </w:style>
  <w:style w:type="paragraph" w:styleId="ListNumber5">
    <w:name w:val="List Number 5"/>
    <w:basedOn w:val="List5"/>
    <w:rsid w:val="00FD7F74"/>
    <w:pPr>
      <w:numPr>
        <w:numId w:val="7"/>
      </w:numPr>
    </w:pPr>
  </w:style>
  <w:style w:type="paragraph" w:styleId="BlockText">
    <w:name w:val="Block Text"/>
    <w:basedOn w:val="Normal"/>
    <w:rsid w:val="00FD7F74"/>
    <w:pPr>
      <w:spacing w:after="120"/>
      <w:ind w:left="1440" w:right="1440"/>
    </w:pPr>
  </w:style>
  <w:style w:type="character" w:customStyle="1" w:styleId="Subscript">
    <w:name w:val="Subscript"/>
    <w:basedOn w:val="DefaultParagraphFont"/>
    <w:rsid w:val="00FD7F74"/>
    <w:rPr>
      <w:sz w:val="16"/>
      <w:vertAlign w:val="subscript"/>
    </w:rPr>
  </w:style>
  <w:style w:type="character" w:customStyle="1" w:styleId="Superscript">
    <w:name w:val="Superscript"/>
    <w:basedOn w:val="DefaultParagraphFont"/>
    <w:rsid w:val="00FD7F74"/>
    <w:rPr>
      <w:sz w:val="16"/>
      <w:vertAlign w:val="superscript"/>
    </w:rPr>
  </w:style>
  <w:style w:type="character" w:customStyle="1" w:styleId="Symbols">
    <w:name w:val="Symbols"/>
    <w:basedOn w:val="DefaultParagraphFont"/>
    <w:rsid w:val="00FD7F74"/>
    <w:rPr>
      <w:rFonts w:ascii="Symbol" w:hAnsi="Symbol"/>
    </w:rPr>
  </w:style>
  <w:style w:type="character" w:customStyle="1" w:styleId="MenuOptions">
    <w:name w:val="Menu Options"/>
    <w:basedOn w:val="DefaultParagraphFont"/>
    <w:rsid w:val="00FD7F74"/>
    <w:rPr>
      <w:rFonts w:ascii="Arial Narrow" w:hAnsi="Arial Narrow"/>
      <w:smallCaps/>
    </w:rPr>
  </w:style>
  <w:style w:type="character" w:customStyle="1" w:styleId="Buttons">
    <w:name w:val="Buttons"/>
    <w:basedOn w:val="DefaultParagraphFont"/>
    <w:rsid w:val="00FD7F74"/>
    <w:rPr>
      <w:b/>
    </w:rPr>
  </w:style>
  <w:style w:type="character" w:customStyle="1" w:styleId="Underlined">
    <w:name w:val="Underlined"/>
    <w:basedOn w:val="DefaultParagraphFont"/>
    <w:rsid w:val="00FD7F74"/>
    <w:rPr>
      <w:u w:val="single"/>
    </w:rPr>
  </w:style>
  <w:style w:type="paragraph" w:customStyle="1" w:styleId="TableBodyTextRight">
    <w:name w:val="Table Body Text Right"/>
    <w:basedOn w:val="TableBodyText"/>
    <w:rsid w:val="00FD7F74"/>
    <w:pPr>
      <w:widowControl w:val="0"/>
      <w:autoSpaceDE w:val="0"/>
      <w:autoSpaceDN w:val="0"/>
      <w:adjustRightInd w:val="0"/>
      <w:jc w:val="right"/>
    </w:pPr>
    <w:rPr>
      <w:rFonts w:cs="Arial"/>
      <w:szCs w:val="18"/>
    </w:rPr>
  </w:style>
  <w:style w:type="paragraph" w:customStyle="1" w:styleId="CopyrightText">
    <w:name w:val="Copyright Text"/>
    <w:basedOn w:val="BodyText"/>
    <w:rsid w:val="00FD7F74"/>
    <w:rPr>
      <w:sz w:val="18"/>
    </w:rPr>
  </w:style>
  <w:style w:type="paragraph" w:customStyle="1" w:styleId="BodySmallRight">
    <w:name w:val="Body Small Right"/>
    <w:basedOn w:val="BodyTextRight"/>
    <w:rsid w:val="00FD7F74"/>
    <w:rPr>
      <w:sz w:val="18"/>
      <w:szCs w:val="18"/>
    </w:rPr>
  </w:style>
  <w:style w:type="paragraph" w:customStyle="1" w:styleId="MarginEdition">
    <w:name w:val="Margin Edition"/>
    <w:basedOn w:val="MarginNote"/>
    <w:rsid w:val="00FD7F74"/>
    <w:pPr>
      <w:spacing w:before="0" w:after="0"/>
    </w:pPr>
    <w:rPr>
      <w:rFonts w:ascii="Times New Roman" w:hAnsi="Times New Roman"/>
      <w:color w:val="999999"/>
    </w:rPr>
  </w:style>
  <w:style w:type="paragraph" w:customStyle="1" w:styleId="Spacer">
    <w:name w:val="Spacer"/>
    <w:basedOn w:val="Normal"/>
    <w:rsid w:val="00FD7F74"/>
    <w:rPr>
      <w:sz w:val="2"/>
      <w:szCs w:val="2"/>
    </w:rPr>
  </w:style>
  <w:style w:type="character" w:customStyle="1" w:styleId="Small">
    <w:name w:val="Small"/>
    <w:basedOn w:val="DefaultParagraphFont"/>
    <w:rsid w:val="00FD7F74"/>
    <w:rPr>
      <w:sz w:val="16"/>
    </w:rPr>
  </w:style>
  <w:style w:type="paragraph" w:customStyle="1" w:styleId="WideTable">
    <w:name w:val="Wide Table"/>
    <w:basedOn w:val="Normal"/>
    <w:rsid w:val="00FD7F74"/>
    <w:pPr>
      <w:ind w:left="-1418"/>
    </w:pPr>
    <w:rPr>
      <w:sz w:val="2"/>
      <w:szCs w:val="2"/>
    </w:rPr>
  </w:style>
  <w:style w:type="character" w:styleId="PageNumber">
    <w:name w:val="page number"/>
    <w:basedOn w:val="DefaultParagraphFont"/>
    <w:rsid w:val="00FD7F74"/>
  </w:style>
  <w:style w:type="paragraph" w:styleId="Quote">
    <w:name w:val="Quote"/>
    <w:basedOn w:val="Heading1"/>
    <w:link w:val="QuoteChar"/>
    <w:qFormat/>
    <w:rsid w:val="00FD7F74"/>
    <w:rPr>
      <w:b w:val="0"/>
      <w:sz w:val="72"/>
      <w:szCs w:val="72"/>
      <w:lang w:val="en-NZ"/>
    </w:rPr>
  </w:style>
  <w:style w:type="character" w:customStyle="1" w:styleId="QuoteChar">
    <w:name w:val="Quote Char"/>
    <w:basedOn w:val="DefaultParagraphFont"/>
    <w:link w:val="Quote"/>
    <w:rsid w:val="00FD7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F74"/>
    <w:pPr>
      <w:pageBreakBefore/>
    </w:pPr>
  </w:style>
  <w:style w:type="paragraph" w:customStyle="1" w:styleId="Border">
    <w:name w:val="Border"/>
    <w:basedOn w:val="Normal"/>
    <w:qFormat/>
    <w:rsid w:val="00FD7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F74"/>
    <w:rPr>
      <w:b/>
      <w:bCs/>
      <w:i/>
      <w:iCs/>
      <w:color w:val="auto"/>
    </w:rPr>
  </w:style>
  <w:style w:type="paragraph" w:styleId="IntenseQuote">
    <w:name w:val="Intense Quote"/>
    <w:basedOn w:val="Normal"/>
    <w:next w:val="Normal"/>
    <w:link w:val="IntenseQuoteChar"/>
    <w:uiPriority w:val="30"/>
    <w:qFormat/>
    <w:rsid w:val="00FD7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F74"/>
    <w:rPr>
      <w:smallCaps/>
      <w:color w:val="auto"/>
      <w:u w:val="single"/>
    </w:rPr>
  </w:style>
  <w:style w:type="character" w:styleId="IntenseReference">
    <w:name w:val="Intense Reference"/>
    <w:basedOn w:val="DefaultParagraphFont"/>
    <w:uiPriority w:val="32"/>
    <w:qFormat/>
    <w:rsid w:val="00FD7F74"/>
    <w:rPr>
      <w:b/>
      <w:bCs/>
      <w:smallCaps/>
      <w:color w:val="auto"/>
      <w:spacing w:val="5"/>
      <w:u w:val="single"/>
    </w:rPr>
  </w:style>
  <w:style w:type="paragraph" w:customStyle="1" w:styleId="2ColumnHeading">
    <w:name w:val="2Column Heading"/>
    <w:basedOn w:val="BodyText"/>
    <w:qFormat/>
    <w:rsid w:val="00FD7F74"/>
    <w:pPr>
      <w:spacing w:after="60"/>
      <w:ind w:left="-2268"/>
    </w:pPr>
    <w:rPr>
      <w:b/>
    </w:rPr>
  </w:style>
  <w:style w:type="paragraph" w:customStyle="1" w:styleId="Heading1TOC">
    <w:name w:val="Heading1 TOC"/>
    <w:basedOn w:val="Normal"/>
    <w:qFormat/>
    <w:rsid w:val="00FD7F74"/>
    <w:pPr>
      <w:spacing w:before="240" w:after="120"/>
    </w:pPr>
    <w:rPr>
      <w:rFonts w:ascii="Times New Roman" w:hAnsi="Times New Roman"/>
      <w:b/>
      <w:sz w:val="32"/>
    </w:rPr>
  </w:style>
  <w:style w:type="paragraph" w:customStyle="1" w:styleId="Heading2TOC">
    <w:name w:val="Heading2 TOC"/>
    <w:basedOn w:val="Normal"/>
    <w:qFormat/>
    <w:rsid w:val="00FD7F74"/>
    <w:pPr>
      <w:spacing w:before="240" w:after="60"/>
    </w:pPr>
    <w:rPr>
      <w:rFonts w:ascii="Times New Roman" w:hAnsi="Times New Roman"/>
      <w:b/>
      <w:sz w:val="28"/>
    </w:rPr>
  </w:style>
  <w:style w:type="character" w:customStyle="1" w:styleId="Underline">
    <w:name w:val="Underline"/>
    <w:basedOn w:val="DefaultParagraphFont"/>
    <w:qFormat/>
    <w:rsid w:val="00FD7F74"/>
    <w:rPr>
      <w:u w:val="single"/>
    </w:rPr>
  </w:style>
  <w:style w:type="paragraph" w:styleId="BalloonText">
    <w:name w:val="Balloon Text"/>
    <w:basedOn w:val="Normal"/>
    <w:link w:val="BalloonTextChar"/>
    <w:rsid w:val="00FD7F74"/>
    <w:rPr>
      <w:rFonts w:ascii="Tahoma" w:hAnsi="Tahoma" w:cs="Tahoma"/>
      <w:sz w:val="16"/>
      <w:szCs w:val="16"/>
    </w:rPr>
  </w:style>
  <w:style w:type="character" w:customStyle="1" w:styleId="BalloonTextChar">
    <w:name w:val="Balloon Text Char"/>
    <w:basedOn w:val="DefaultParagraphFont"/>
    <w:link w:val="BalloonText"/>
    <w:rsid w:val="00FD7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7592</Characters>
  <Application>Microsoft Office Word</Application>
  <DocSecurity>0</DocSecurity>
  <Lines>256</Lines>
  <Paragraphs>167</Paragraphs>
  <ScaleCrop>false</ScaleCrop>
  <Company>Author-it Software Corporation Ltd.</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SISOSCB317A Complete a dive using Enriched Air Nitrox</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2012-05-26T09:41:00Z</dcterms:created>
  <dcterms:modified xsi:type="dcterms:W3CDTF">2012-05-26T09:41:00Z</dcterms:modified>
</cp:coreProperties>
</file>