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B6330" w:rsidP="00DB6330">
      <w:pPr>
        <w:pStyle w:val="Title"/>
      </w:pPr>
      <w:r>
        <w:fldChar w:fldCharType="begin"/>
      </w:r>
      <w:r>
        <w:instrText xml:space="preserve"> TITLE   \* MERGEFORMAT </w:instrText>
      </w:r>
      <w:r>
        <w:fldChar w:fldCharType="separate"/>
      </w:r>
      <w:r>
        <w:t>SISOCAY406A Establish complex belays in canyons</w:t>
      </w:r>
      <w:r>
        <w:fldChar w:fldCharType="end"/>
      </w:r>
    </w:p>
    <w:p w:rsidR="00DB6330" w:rsidP="00DB6330">
      <w:pPr>
        <w:pStyle w:val="Version"/>
        <w:sectPr w:rsidSect="006D7FE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6D7FEE" w:rsidP="006D7FEE">
      <w:pPr>
        <w:pStyle w:val="SuperHeading"/>
      </w:pPr>
      <w:r w:rsidRPr="006D7FEE">
        <w:t>SISOCAY406A Establish complex belays in canyons</w:t>
      </w:r>
    </w:p>
    <w:p w:rsidR="00000000" w:rsidRPr="006D7FEE" w:rsidP="006D7FEE">
      <w:pPr>
        <w:pStyle w:val="Heading1"/>
      </w:pPr>
      <w:bookmarkStart w:id="1" w:name="O_364347"/>
      <w:bookmarkEnd w:id="1"/>
      <w:r w:rsidRPr="006D7FEE">
        <w:t>Modification History</w:t>
      </w:r>
    </w:p>
    <w:p w:rsidR="00000000" w:rsidRPr="006D7FEE" w:rsidP="006D7FEE">
      <w:pPr>
        <w:pStyle w:val="BodyText"/>
      </w:pPr>
      <w:r w:rsidRPr="006D7FEE">
        <w:t>Not Applicable</w:t>
      </w:r>
    </w:p>
    <w:p w:rsidR="00000000" w:rsidRPr="006D7FEE" w:rsidP="006D7FEE">
      <w:pPr>
        <w:pStyle w:val="AllowPageBreak"/>
      </w:pPr>
    </w:p>
    <w:p w:rsidR="00000000" w:rsidRPr="006D7FEE" w:rsidP="006D7FEE">
      <w:pPr>
        <w:pStyle w:val="Heading1"/>
      </w:pPr>
      <w:bookmarkStart w:id="2" w:name="O_364343"/>
      <w:bookmarkEnd w:id="2"/>
      <w:r w:rsidRPr="006D7FEE">
        <w:t>Unit Descriptor</w:t>
      </w:r>
    </w:p>
    <w:p w:rsidR="00000000" w:rsidRPr="006D7FEE" w:rsidP="006D7FEE">
      <w:pPr>
        <w:pStyle w:val="BodyText"/>
      </w:pPr>
      <w:r w:rsidRPr="006D7FEE">
        <w:t>This unit describes the performance outcomes, skills and knowledge required to independently select and rig fixed, natu</w:t>
      </w:r>
      <w:r w:rsidRPr="006D7FEE">
        <w:t>ral and or artificial anchors for the attachment of ropes and equipment for belays. These anchors are to be used in establishing complex belay systems and rigging rope pitches for canyoning. These systems must accommodate different belayer and abseiler abi</w:t>
      </w:r>
      <w:r w:rsidRPr="006D7FEE">
        <w:t xml:space="preserve">lities in single and multi pitch contexts. </w:t>
      </w:r>
    </w:p>
    <w:p w:rsidR="00000000" w:rsidRPr="006D7FEE" w:rsidP="006D7FEE">
      <w:pPr>
        <w:pStyle w:val="AllowPageBreak"/>
      </w:pPr>
    </w:p>
    <w:p w:rsidR="00000000" w:rsidRPr="006D7FEE" w:rsidP="006D7FEE">
      <w:pPr>
        <w:pStyle w:val="Heading1"/>
      </w:pPr>
      <w:bookmarkStart w:id="3" w:name="O_364356"/>
      <w:bookmarkEnd w:id="3"/>
      <w:r w:rsidRPr="006D7FEE">
        <w:t>Application of the Unit</w:t>
      </w:r>
    </w:p>
    <w:p w:rsidR="00000000" w:rsidRPr="006D7FEE" w:rsidP="006D7FEE">
      <w:pPr>
        <w:pStyle w:val="BodyText"/>
      </w:pPr>
      <w:r w:rsidRPr="006D7FEE">
        <w:t>This unit applies to those working as canyoning guides or assistant guides required to establish complex belays for canyoning activities in a range of single and multi pit</w:t>
      </w:r>
      <w:r w:rsidRPr="006D7FEE">
        <w:t xml:space="preserve">ch locations with a variety of terrain obstacles, hazards and environmental conditions. </w:t>
      </w:r>
    </w:p>
    <w:p w:rsidR="00000000" w:rsidRPr="006D7FEE" w:rsidP="006D7FEE">
      <w:pPr>
        <w:pStyle w:val="BodyText"/>
      </w:pPr>
    </w:p>
    <w:p w:rsidR="00000000" w:rsidRPr="006D7FEE" w:rsidP="006D7FEE">
      <w:pPr>
        <w:pStyle w:val="BodyText"/>
      </w:pPr>
      <w:r w:rsidRPr="006D7FEE">
        <w:t>This may apply to canyoning leaders working for outdoor education or adventure providers, volunteer groups, not-for-profit organisations or government agencies.</w:t>
      </w:r>
    </w:p>
    <w:p w:rsidR="00000000" w:rsidRPr="006D7FEE" w:rsidP="006D7FEE">
      <w:pPr>
        <w:pStyle w:val="AllowPageBreak"/>
      </w:pPr>
    </w:p>
    <w:p w:rsidR="00000000" w:rsidRPr="006D7FEE" w:rsidP="006D7FEE">
      <w:pPr>
        <w:pStyle w:val="Heading1"/>
      </w:pPr>
      <w:bookmarkStart w:id="4" w:name="O_364348"/>
      <w:bookmarkEnd w:id="4"/>
      <w:r w:rsidRPr="006D7FEE">
        <w:t>Licensing/Regulatory Information</w:t>
      </w:r>
    </w:p>
    <w:p w:rsidR="00000000" w:rsidRPr="006D7FEE" w:rsidP="006D7FEE">
      <w:pPr>
        <w:pStyle w:val="BodyText"/>
      </w:pPr>
      <w:r w:rsidRPr="006D7FEE">
        <w:t>No licensing, regulatory or certification requirements apply to this unit at the time of endorsement</w:t>
      </w:r>
    </w:p>
    <w:p w:rsidR="00000000" w:rsidRPr="006D7FEE" w:rsidP="006D7FEE">
      <w:pPr>
        <w:pStyle w:val="AllowPageBreak"/>
      </w:pPr>
    </w:p>
    <w:p w:rsidR="00000000" w:rsidRPr="006D7FEE" w:rsidP="006D7FEE">
      <w:pPr>
        <w:pStyle w:val="Heading1"/>
      </w:pPr>
      <w:bookmarkStart w:id="5" w:name="O_364346"/>
      <w:bookmarkEnd w:id="5"/>
      <w:r w:rsidRPr="006D7FEE">
        <w:t>Pre-Requisites</w:t>
      </w:r>
    </w:p>
    <w:p w:rsidR="00000000" w:rsidRPr="006D7FEE" w:rsidP="006D7FEE">
      <w:pPr>
        <w:pStyle w:val="BodyText"/>
      </w:pPr>
      <w:r w:rsidRPr="006D7FEE">
        <w:t>Nil</w:t>
      </w:r>
    </w:p>
    <w:p w:rsidR="00000000" w:rsidRPr="006D7FEE" w:rsidP="006D7FEE">
      <w:pPr>
        <w:pStyle w:val="AllowPageBreak"/>
      </w:pPr>
    </w:p>
    <w:p w:rsidR="00000000" w:rsidRPr="006D7FEE" w:rsidP="006D7FEE">
      <w:pPr>
        <w:pStyle w:val="Heading1"/>
      </w:pPr>
      <w:bookmarkStart w:id="6" w:name="O_364351"/>
      <w:bookmarkEnd w:id="6"/>
      <w:r w:rsidRPr="006D7FEE">
        <w:t>Employability Skills Information</w:t>
      </w:r>
    </w:p>
    <w:p w:rsidR="00000000" w:rsidRPr="006D7FEE" w:rsidP="006D7FEE">
      <w:pPr>
        <w:pStyle w:val="BodyText"/>
      </w:pPr>
      <w:r w:rsidRPr="006D7FEE">
        <w:t>This unit contains e</w:t>
      </w:r>
      <w:r w:rsidRPr="006D7FEE">
        <w:t>mployability skills.</w:t>
      </w:r>
    </w:p>
    <w:p w:rsidR="00000000" w:rsidRPr="006D7FEE" w:rsidP="006D7FEE">
      <w:pPr>
        <w:pStyle w:val="AllowPageBreak"/>
      </w:pPr>
    </w:p>
    <w:p w:rsidR="00000000" w:rsidRPr="006D7FEE" w:rsidP="006D7FEE">
      <w:pPr>
        <w:pStyle w:val="Heading1"/>
      </w:pPr>
      <w:bookmarkStart w:id="7" w:name="O_364352"/>
      <w:bookmarkEnd w:id="7"/>
      <w:r w:rsidRPr="006D7FEE">
        <w:t>Elements and Performance Criteria Pre-Content</w:t>
      </w:r>
    </w:p>
    <w:p w:rsidR="00000000" w:rsidRPr="006D7FEE" w:rsidP="006D7FEE">
      <w:pPr>
        <w:pStyle w:val="Heading1"/>
      </w:pPr>
      <w:bookmarkStart w:id="8" w:name="O_364353"/>
      <w:bookmarkEnd w:id="8"/>
      <w:r w:rsidRPr="006D7FEE">
        <w:t>Elements and Performance Criteria</w:t>
      </w:r>
    </w:p>
    <w:tbl>
      <w:tblPr>
        <w:tblW w:w="0" w:type="auto"/>
        <w:tblLayout w:type="fixed"/>
        <w:tblCellMar>
          <w:left w:w="62" w:type="dxa"/>
          <w:right w:w="62" w:type="dxa"/>
        </w:tblCellMar>
        <w:tblLook w:val="0000"/>
      </w:tblPr>
      <w:tblGrid>
        <w:gridCol w:w="2560"/>
        <w:gridCol w:w="5962"/>
      </w:tblGrid>
      <w:tr w:rsidTr="00DB6330">
        <w:tblPrEx>
          <w:tblW w:w="0" w:type="auto"/>
          <w:tblLayout w:type="fixed"/>
          <w:tblCellMar>
            <w:left w:w="62" w:type="dxa"/>
            <w:right w:w="62" w:type="dxa"/>
          </w:tblCellMar>
          <w:tblLook w:val="0000"/>
        </w:tblPrEx>
        <w:trPr>
          <w:tblHeader/>
        </w:trPr>
        <w:tc>
          <w:tcPr>
            <w:tcW w:w="2560" w:type="dxa"/>
            <w:tcBorders>
              <w:top w:val="nil"/>
              <w:left w:val="nil"/>
              <w:bottom w:val="nil"/>
              <w:right w:val="nil"/>
            </w:tcBorders>
            <w:tcMar>
              <w:top w:w="0" w:type="dxa"/>
              <w:left w:w="62" w:type="dxa"/>
              <w:bottom w:w="0" w:type="dxa"/>
              <w:right w:w="62" w:type="dxa"/>
            </w:tcMar>
          </w:tcPr>
          <w:p w:rsidR="00000000" w:rsidRPr="006D7FEE" w:rsidP="006D7FEE">
            <w:pPr>
              <w:pStyle w:val="BodyText"/>
            </w:pPr>
            <w:r w:rsidRPr="006D7FEE">
              <w:rPr>
                <w:rStyle w:val="SpecialBold"/>
              </w:rPr>
              <w:t>ELEMENT</w:t>
            </w:r>
          </w:p>
        </w:tc>
        <w:tc>
          <w:tcPr>
            <w:tcW w:w="5962" w:type="dxa"/>
            <w:tcBorders>
              <w:top w:val="nil"/>
              <w:left w:val="nil"/>
              <w:bottom w:val="nil"/>
              <w:right w:val="nil"/>
            </w:tcBorders>
            <w:tcMar>
              <w:top w:w="0" w:type="dxa"/>
              <w:left w:w="62" w:type="dxa"/>
              <w:bottom w:w="0" w:type="dxa"/>
              <w:right w:w="62" w:type="dxa"/>
            </w:tcMar>
          </w:tcPr>
          <w:p w:rsidR="00000000" w:rsidP="006D7FEE">
            <w:pPr>
              <w:pStyle w:val="BodyText"/>
              <w:rPr>
                <w:lang w:val="en-NZ"/>
              </w:rPr>
            </w:pPr>
            <w:r w:rsidRPr="006D7FEE">
              <w:rPr>
                <w:rStyle w:val="SpecialBold"/>
              </w:rPr>
              <w:t>PERFORMANCE CRITERIA</w:t>
            </w:r>
          </w:p>
        </w:tc>
      </w:tr>
      <w:tr w:rsidTr="00DB6330">
        <w:tblPrEx>
          <w:tblW w:w="0" w:type="auto"/>
          <w:tblLayout w:type="fixed"/>
          <w:tblCellMar>
            <w:left w:w="62" w:type="dxa"/>
            <w:right w:w="62" w:type="dxa"/>
          </w:tblCellMar>
          <w:tblLook w:val="0000"/>
        </w:tblPrEx>
        <w:tc>
          <w:tcPr>
            <w:tcW w:w="2560" w:type="dxa"/>
            <w:tcBorders>
              <w:top w:val="nil"/>
              <w:left w:val="nil"/>
              <w:bottom w:val="nil"/>
              <w:right w:val="nil"/>
            </w:tcBorders>
            <w:tcMar>
              <w:top w:w="0" w:type="dxa"/>
              <w:left w:w="62" w:type="dxa"/>
              <w:bottom w:w="0" w:type="dxa"/>
              <w:right w:w="62" w:type="dxa"/>
            </w:tcMar>
          </w:tcPr>
          <w:p w:rsidR="00000000" w:rsidP="006D7FEE">
            <w:pPr>
              <w:pStyle w:val="BodyText"/>
              <w:rPr>
                <w:lang w:val="en-NZ"/>
              </w:rPr>
            </w:pPr>
            <w:r w:rsidRPr="006D7FEE">
              <w:t>Elements describe the essential outcomes of a unit of competency.</w:t>
            </w:r>
          </w:p>
        </w:tc>
        <w:tc>
          <w:tcPr>
            <w:tcW w:w="5962" w:type="dxa"/>
            <w:tcBorders>
              <w:top w:val="nil"/>
              <w:left w:val="nil"/>
              <w:bottom w:val="nil"/>
              <w:right w:val="nil"/>
            </w:tcBorders>
            <w:tcMar>
              <w:top w:w="0" w:type="dxa"/>
              <w:left w:w="62" w:type="dxa"/>
              <w:bottom w:w="0" w:type="dxa"/>
              <w:right w:w="62" w:type="dxa"/>
            </w:tcMar>
          </w:tcPr>
          <w:p w:rsidR="00000000" w:rsidP="006D7FEE">
            <w:pPr>
              <w:pStyle w:val="BodyText"/>
              <w:rPr>
                <w:lang w:val="en-NZ"/>
              </w:rPr>
            </w:pPr>
            <w:r w:rsidRPr="006D7FEE">
              <w:t>Performance criteria describe the performance needed to demonstrate achievement of the element. Where bold italicised text is used, further information is detailed in the required skills and knowledge section and the range statement. Assessment of performa</w:t>
            </w:r>
            <w:r w:rsidRPr="006D7FEE">
              <w:t xml:space="preserve">nce is to be consistent with the evidence guide. </w:t>
            </w:r>
          </w:p>
        </w:tc>
      </w:tr>
      <w:tr w:rsidTr="00DB6330">
        <w:tblPrEx>
          <w:tblW w:w="0" w:type="auto"/>
          <w:tblLayout w:type="fixed"/>
          <w:tblCellMar>
            <w:left w:w="62" w:type="dxa"/>
            <w:right w:w="62" w:type="dxa"/>
          </w:tblCellMar>
          <w:tblLook w:val="0000"/>
        </w:tblPrEx>
        <w:tc>
          <w:tcPr>
            <w:tcW w:w="2560" w:type="dxa"/>
            <w:tcBorders>
              <w:top w:val="nil"/>
              <w:left w:val="nil"/>
              <w:bottom w:val="nil"/>
              <w:right w:val="nil"/>
            </w:tcBorders>
            <w:tcMar>
              <w:top w:w="0" w:type="dxa"/>
              <w:left w:w="62" w:type="dxa"/>
              <w:bottom w:w="0" w:type="dxa"/>
              <w:right w:w="62" w:type="dxa"/>
            </w:tcMar>
          </w:tcPr>
          <w:p w:rsidR="00000000" w:rsidP="006D7FEE">
            <w:pPr>
              <w:pStyle w:val="List"/>
              <w:rPr>
                <w:lang w:val="en-NZ"/>
              </w:rPr>
            </w:pPr>
            <w:r w:rsidRPr="006D7FEE">
              <w:t>1.</w:t>
            </w:r>
            <w:r w:rsidRPr="006D7FEE">
              <w:tab/>
              <w:t>Select equipment for belay system.</w:t>
            </w:r>
          </w:p>
        </w:tc>
        <w:tc>
          <w:tcPr>
            <w:tcW w:w="5962" w:type="dxa"/>
            <w:tcBorders>
              <w:top w:val="nil"/>
              <w:left w:val="nil"/>
              <w:bottom w:val="nil"/>
              <w:right w:val="nil"/>
            </w:tcBorders>
            <w:tcMar>
              <w:top w:w="0" w:type="dxa"/>
              <w:left w:w="62" w:type="dxa"/>
              <w:bottom w:w="0" w:type="dxa"/>
              <w:right w:w="62" w:type="dxa"/>
            </w:tcMar>
          </w:tcPr>
          <w:p w:rsidR="00000000" w:rsidRPr="006D7FEE" w:rsidP="006D7FEE">
            <w:pPr>
              <w:pStyle w:val="List2"/>
            </w:pPr>
            <w:r w:rsidRPr="006D7FEE">
              <w:t>1.1.</w:t>
            </w:r>
            <w:r w:rsidRPr="006D7FEE">
              <w:tab/>
              <w:t xml:space="preserve">Select a </w:t>
            </w:r>
            <w:r w:rsidRPr="006D7FEE">
              <w:rPr>
                <w:rStyle w:val="BoldandItalics"/>
              </w:rPr>
              <w:t>belay system</w:t>
            </w:r>
            <w:r w:rsidRPr="006D7FEE">
              <w:t xml:space="preserve"> that minimises </w:t>
            </w:r>
            <w:r w:rsidRPr="006D7FEE">
              <w:rPr>
                <w:rStyle w:val="BoldandItalics"/>
              </w:rPr>
              <w:t>environmental impact</w:t>
            </w:r>
            <w:r w:rsidRPr="006D7FEE">
              <w:t xml:space="preserve">, according to </w:t>
            </w:r>
            <w:r w:rsidRPr="006D7FEE">
              <w:rPr>
                <w:rStyle w:val="BoldandItalics"/>
              </w:rPr>
              <w:t>contextual issues</w:t>
            </w:r>
            <w:r w:rsidRPr="006D7FEE">
              <w:t>.</w:t>
            </w:r>
          </w:p>
          <w:p w:rsidR="00000000" w:rsidRPr="006D7FEE" w:rsidP="006D7FEE">
            <w:pPr>
              <w:pStyle w:val="List2"/>
            </w:pPr>
            <w:r w:rsidRPr="006D7FEE">
              <w:t>1.2.</w:t>
            </w:r>
            <w:r w:rsidRPr="006D7FEE">
              <w:tab/>
              <w:t xml:space="preserve">Identify and select </w:t>
            </w:r>
            <w:r w:rsidRPr="006D7FEE">
              <w:rPr>
                <w:rStyle w:val="BoldandItalics"/>
              </w:rPr>
              <w:t>equipment</w:t>
            </w:r>
            <w:r w:rsidRPr="006D7FEE">
              <w:t xml:space="preserve"> according to </w:t>
            </w:r>
            <w:r w:rsidRPr="006D7FEE">
              <w:rPr>
                <w:rStyle w:val="BoldandItalics"/>
              </w:rPr>
              <w:t>relevant legislation</w:t>
            </w:r>
            <w:r w:rsidRPr="006D7FEE">
              <w:t xml:space="preserve"> and </w:t>
            </w:r>
            <w:r w:rsidRPr="006D7FEE">
              <w:rPr>
                <w:rStyle w:val="BoldandItalics"/>
              </w:rPr>
              <w:t>organisational policies and procedures</w:t>
            </w:r>
            <w:r w:rsidRPr="006D7FEE">
              <w:t>.</w:t>
            </w:r>
          </w:p>
          <w:p w:rsidR="00000000" w:rsidRPr="006D7FEE" w:rsidP="006D7FEE">
            <w:pPr>
              <w:pStyle w:val="List2"/>
            </w:pPr>
            <w:r w:rsidRPr="006D7FEE">
              <w:t>1.3.</w:t>
            </w:r>
            <w:r w:rsidRPr="006D7FEE">
              <w:tab/>
              <w:t xml:space="preserve">Select </w:t>
            </w:r>
            <w:r w:rsidRPr="006D7FEE">
              <w:rPr>
                <w:rStyle w:val="BoldandItalics"/>
              </w:rPr>
              <w:t>anchors</w:t>
            </w:r>
            <w:r w:rsidRPr="006D7FEE">
              <w:t xml:space="preserve"> that meet the requirements of the abseil and abilities of the </w:t>
            </w:r>
            <w:r w:rsidRPr="006D7FEE">
              <w:rPr>
                <w:rStyle w:val="BoldandItalics"/>
              </w:rPr>
              <w:t>participants</w:t>
            </w:r>
            <w:r w:rsidRPr="006D7FEE">
              <w:t>.</w:t>
            </w:r>
          </w:p>
          <w:p w:rsidR="00000000" w:rsidRPr="006D7FEE" w:rsidP="006D7FEE">
            <w:pPr>
              <w:pStyle w:val="List2"/>
            </w:pPr>
            <w:r w:rsidRPr="006D7FEE">
              <w:t>1.4.</w:t>
            </w:r>
            <w:r w:rsidRPr="006D7FEE">
              <w:tab/>
              <w:t xml:space="preserve">Assess </w:t>
            </w:r>
            <w:r w:rsidRPr="006D7FEE">
              <w:rPr>
                <w:rStyle w:val="BoldandItalics"/>
              </w:rPr>
              <w:t>condition of the</w:t>
            </w:r>
            <w:r w:rsidRPr="006D7FEE">
              <w:t xml:space="preserve"> </w:t>
            </w:r>
            <w:r w:rsidRPr="006D7FEE">
              <w:rPr>
                <w:rStyle w:val="BoldandItalics"/>
              </w:rPr>
              <w:t>anchors</w:t>
            </w:r>
            <w:r w:rsidRPr="006D7FEE">
              <w:t xml:space="preserve">, including performance under </w:t>
            </w:r>
            <w:r w:rsidRPr="006D7FEE">
              <w:rPr>
                <w:rStyle w:val="BoldandItalics"/>
              </w:rPr>
              <w:t>likely load</w:t>
            </w:r>
            <w:r w:rsidRPr="006D7FEE">
              <w:t>, and stability of surroundings.</w:t>
            </w:r>
          </w:p>
          <w:p w:rsidR="00000000" w:rsidRPr="006D7FEE" w:rsidP="006D7FEE">
            <w:pPr>
              <w:pStyle w:val="List2"/>
            </w:pPr>
            <w:r w:rsidRPr="006D7FEE">
              <w:t>1.5.</w:t>
            </w:r>
            <w:r w:rsidRPr="006D7FEE">
              <w:tab/>
            </w:r>
            <w:r w:rsidRPr="006D7FEE">
              <w:t xml:space="preserve">Choose a </w:t>
            </w:r>
            <w:r w:rsidRPr="006D7FEE">
              <w:rPr>
                <w:rStyle w:val="BoldandItalics"/>
              </w:rPr>
              <w:t>belay device</w:t>
            </w:r>
            <w:r w:rsidRPr="006D7FEE">
              <w:t xml:space="preserve"> that is suitable to the surface conditions and belayer's ability.</w:t>
            </w:r>
          </w:p>
          <w:p w:rsidR="00000000" w:rsidRPr="006D7FEE" w:rsidP="006D7FEE">
            <w:pPr>
              <w:pStyle w:val="List2"/>
            </w:pPr>
            <w:r w:rsidRPr="006D7FEE">
              <w:t>1.6.</w:t>
            </w:r>
            <w:r w:rsidRPr="006D7FEE">
              <w:tab/>
              <w:t xml:space="preserve">Place </w:t>
            </w:r>
            <w:r w:rsidRPr="006D7FEE">
              <w:rPr>
                <w:rStyle w:val="BoldandItalics"/>
              </w:rPr>
              <w:t>protection</w:t>
            </w:r>
            <w:r w:rsidRPr="006D7FEE">
              <w:t xml:space="preserve"> in a manner to create an anchor.</w:t>
            </w:r>
          </w:p>
          <w:p w:rsidR="00000000" w:rsidP="006D7FEE">
            <w:pPr>
              <w:pStyle w:val="List2"/>
              <w:rPr>
                <w:lang w:val="en-NZ"/>
              </w:rPr>
            </w:pPr>
            <w:r w:rsidRPr="006D7FEE">
              <w:t>1.7.</w:t>
            </w:r>
            <w:r w:rsidRPr="006D7FEE">
              <w:tab/>
              <w:t xml:space="preserve">Complete all necessary equipment </w:t>
            </w:r>
            <w:r w:rsidRPr="006D7FEE">
              <w:rPr>
                <w:rStyle w:val="BoldandItalics"/>
              </w:rPr>
              <w:t>safety checks</w:t>
            </w:r>
            <w:r w:rsidRPr="006D7FEE">
              <w:t xml:space="preserve"> according to organisational policies and procedures.</w:t>
            </w:r>
          </w:p>
        </w:tc>
      </w:tr>
      <w:tr w:rsidTr="00DB6330">
        <w:tblPrEx>
          <w:tblW w:w="0" w:type="auto"/>
          <w:tblLayout w:type="fixed"/>
          <w:tblCellMar>
            <w:left w:w="62" w:type="dxa"/>
            <w:right w:w="62" w:type="dxa"/>
          </w:tblCellMar>
          <w:tblLook w:val="0000"/>
        </w:tblPrEx>
        <w:tc>
          <w:tcPr>
            <w:tcW w:w="2560" w:type="dxa"/>
            <w:tcBorders>
              <w:top w:val="nil"/>
              <w:left w:val="nil"/>
              <w:bottom w:val="nil"/>
              <w:right w:val="nil"/>
            </w:tcBorders>
            <w:tcMar>
              <w:top w:w="0" w:type="dxa"/>
              <w:left w:w="62" w:type="dxa"/>
              <w:bottom w:w="0" w:type="dxa"/>
              <w:right w:w="62" w:type="dxa"/>
            </w:tcMar>
          </w:tcPr>
          <w:p w:rsidR="00000000" w:rsidP="006D7FEE">
            <w:pPr>
              <w:pStyle w:val="List"/>
              <w:rPr>
                <w:lang w:val="en-NZ"/>
              </w:rPr>
            </w:pPr>
            <w:r w:rsidRPr="006D7FEE">
              <w:t>2.</w:t>
            </w:r>
            <w:r w:rsidRPr="006D7FEE">
              <w:tab/>
              <w:t xml:space="preserve">Set </w:t>
            </w:r>
            <w:r w:rsidRPr="006D7FEE">
              <w:t>up belay system.</w:t>
            </w:r>
          </w:p>
        </w:tc>
        <w:tc>
          <w:tcPr>
            <w:tcW w:w="5962" w:type="dxa"/>
            <w:tcBorders>
              <w:top w:val="nil"/>
              <w:left w:val="nil"/>
              <w:bottom w:val="nil"/>
              <w:right w:val="nil"/>
            </w:tcBorders>
            <w:tcMar>
              <w:top w:w="0" w:type="dxa"/>
              <w:left w:w="62" w:type="dxa"/>
              <w:bottom w:w="0" w:type="dxa"/>
              <w:right w:w="62" w:type="dxa"/>
            </w:tcMar>
          </w:tcPr>
          <w:p w:rsidR="00000000" w:rsidRPr="006D7FEE" w:rsidP="006D7FEE">
            <w:pPr>
              <w:pStyle w:val="List2"/>
            </w:pPr>
            <w:r w:rsidRPr="006D7FEE">
              <w:t>2.1.</w:t>
            </w:r>
            <w:r w:rsidRPr="006D7FEE">
              <w:tab/>
              <w:t>Rig multiple anchors, ensuring equalisation and minimal shock loading.</w:t>
            </w:r>
          </w:p>
          <w:p w:rsidR="00000000" w:rsidRPr="006D7FEE" w:rsidP="006D7FEE">
            <w:pPr>
              <w:pStyle w:val="List2"/>
            </w:pPr>
            <w:r w:rsidRPr="006D7FEE">
              <w:t>2.2.</w:t>
            </w:r>
            <w:r w:rsidRPr="006D7FEE">
              <w:tab/>
              <w:t xml:space="preserve">Tie </w:t>
            </w:r>
            <w:r w:rsidRPr="006D7FEE">
              <w:rPr>
                <w:rStyle w:val="BoldandItalics"/>
              </w:rPr>
              <w:t>knots</w:t>
            </w:r>
            <w:r w:rsidRPr="006D7FEE">
              <w:t xml:space="preserve"> and rig ropes suitable for the type of belay system established.</w:t>
            </w:r>
          </w:p>
          <w:p w:rsidR="00000000" w:rsidRPr="006D7FEE" w:rsidP="006D7FEE">
            <w:pPr>
              <w:pStyle w:val="List2"/>
            </w:pPr>
            <w:r w:rsidRPr="006D7FEE">
              <w:t>2.3.</w:t>
            </w:r>
            <w:r w:rsidRPr="006D7FEE">
              <w:tab/>
              <w:t xml:space="preserve">Establish a belay from which the belayer is able to escape and safely perform </w:t>
            </w:r>
            <w:r w:rsidRPr="006D7FEE">
              <w:t>a rescue.</w:t>
            </w:r>
          </w:p>
          <w:p w:rsidR="00000000" w:rsidRPr="006D7FEE" w:rsidP="006D7FEE">
            <w:pPr>
              <w:pStyle w:val="List2"/>
            </w:pPr>
            <w:r w:rsidRPr="006D7FEE">
              <w:t>2.4.</w:t>
            </w:r>
            <w:r w:rsidRPr="006D7FEE">
              <w:tab/>
              <w:t>Establish a belay that maintains safety of belayer and minimises movement of the belayer in the event of a fall.</w:t>
            </w:r>
          </w:p>
          <w:p w:rsidR="00000000" w:rsidRPr="006D7FEE" w:rsidP="006D7FEE">
            <w:pPr>
              <w:pStyle w:val="List2"/>
            </w:pPr>
            <w:r w:rsidRPr="006D7FEE">
              <w:t>2.5.</w:t>
            </w:r>
            <w:r w:rsidRPr="006D7FEE">
              <w:tab/>
              <w:t xml:space="preserve">Avoid or remove belay </w:t>
            </w:r>
            <w:r w:rsidRPr="006D7FEE">
              <w:rPr>
                <w:rStyle w:val="BoldandItalics"/>
              </w:rPr>
              <w:t>hazards</w:t>
            </w:r>
            <w:r w:rsidRPr="006D7FEE">
              <w:t xml:space="preserve"> to maintain </w:t>
            </w:r>
            <w:r w:rsidRPr="006D7FEE">
              <w:rPr>
                <w:rStyle w:val="BoldandItalics"/>
              </w:rPr>
              <w:t>safety of belayer</w:t>
            </w:r>
            <w:r w:rsidRPr="006D7FEE">
              <w:t>.</w:t>
            </w:r>
          </w:p>
          <w:p w:rsidR="00000000" w:rsidP="006D7FEE">
            <w:pPr>
              <w:pStyle w:val="List2"/>
              <w:rPr>
                <w:lang w:val="en-NZ"/>
              </w:rPr>
            </w:pPr>
            <w:r w:rsidRPr="006D7FEE">
              <w:t>2.6.</w:t>
            </w:r>
            <w:r w:rsidRPr="006D7FEE">
              <w:tab/>
              <w:t>Determine the need for, and establish back up belay syste</w:t>
            </w:r>
            <w:r w:rsidRPr="006D7FEE">
              <w:t>ms.</w:t>
            </w:r>
          </w:p>
        </w:tc>
      </w:tr>
      <w:tr w:rsidTr="00DB6330">
        <w:tblPrEx>
          <w:tblW w:w="0" w:type="auto"/>
          <w:tblLayout w:type="fixed"/>
          <w:tblCellMar>
            <w:left w:w="62" w:type="dxa"/>
            <w:right w:w="62" w:type="dxa"/>
          </w:tblCellMar>
          <w:tblLook w:val="0000"/>
        </w:tblPrEx>
        <w:tc>
          <w:tcPr>
            <w:tcW w:w="2560" w:type="dxa"/>
            <w:tcBorders>
              <w:top w:val="nil"/>
              <w:left w:val="nil"/>
              <w:bottom w:val="nil"/>
              <w:right w:val="nil"/>
            </w:tcBorders>
            <w:tcMar>
              <w:top w:w="0" w:type="dxa"/>
              <w:left w:w="62" w:type="dxa"/>
              <w:bottom w:w="0" w:type="dxa"/>
              <w:right w:w="62" w:type="dxa"/>
            </w:tcMar>
          </w:tcPr>
          <w:p w:rsidR="00000000" w:rsidP="006D7FEE">
            <w:pPr>
              <w:pStyle w:val="List"/>
              <w:rPr>
                <w:lang w:val="en-NZ"/>
              </w:rPr>
            </w:pPr>
            <w:r w:rsidRPr="006D7FEE">
              <w:t>3.</w:t>
            </w:r>
            <w:r w:rsidRPr="006D7FEE">
              <w:tab/>
              <w:t>Rig rope pitches.</w:t>
            </w:r>
          </w:p>
        </w:tc>
        <w:tc>
          <w:tcPr>
            <w:tcW w:w="5962" w:type="dxa"/>
            <w:tcBorders>
              <w:top w:val="nil"/>
              <w:left w:val="nil"/>
              <w:bottom w:val="nil"/>
              <w:right w:val="nil"/>
            </w:tcBorders>
            <w:tcMar>
              <w:top w:w="0" w:type="dxa"/>
              <w:left w:w="62" w:type="dxa"/>
              <w:bottom w:w="0" w:type="dxa"/>
              <w:right w:w="62" w:type="dxa"/>
            </w:tcMar>
          </w:tcPr>
          <w:p w:rsidR="00000000" w:rsidRPr="006D7FEE" w:rsidP="006D7FEE">
            <w:pPr>
              <w:pStyle w:val="List2"/>
            </w:pPr>
            <w:r w:rsidRPr="006D7FEE">
              <w:t>3.1.</w:t>
            </w:r>
            <w:r w:rsidRPr="006D7FEE">
              <w:tab/>
              <w:t>Identify safe access to and egress from the site according to relevant legislation.</w:t>
            </w:r>
          </w:p>
          <w:p w:rsidR="00000000" w:rsidRPr="006D7FEE" w:rsidP="006D7FEE">
            <w:pPr>
              <w:pStyle w:val="List2"/>
            </w:pPr>
            <w:r w:rsidRPr="006D7FEE">
              <w:t>3.2.</w:t>
            </w:r>
            <w:r w:rsidRPr="006D7FEE">
              <w:tab/>
              <w:t xml:space="preserve">Determine descent route according to organisational </w:t>
            </w:r>
            <w:r w:rsidRPr="006D7FEE">
              <w:t>policies and procedures and contextual issues.</w:t>
            </w:r>
          </w:p>
          <w:p w:rsidR="00000000" w:rsidRPr="006D7FEE" w:rsidP="006D7FEE">
            <w:pPr>
              <w:pStyle w:val="List2"/>
            </w:pPr>
            <w:r w:rsidRPr="006D7FEE">
              <w:t>3.3.</w:t>
            </w:r>
            <w:r w:rsidRPr="006D7FEE">
              <w:tab/>
              <w:t>Tie knots that ar</w:t>
            </w:r>
            <w:r w:rsidRPr="006D7FEE">
              <w:t>e suitable for the type of system established and for potential retrieval or rescue situations.</w:t>
            </w:r>
          </w:p>
          <w:p w:rsidR="00000000" w:rsidRPr="006D7FEE" w:rsidP="006D7FEE">
            <w:pPr>
              <w:pStyle w:val="List2"/>
            </w:pPr>
            <w:r w:rsidRPr="006D7FEE">
              <w:t>3.4.</w:t>
            </w:r>
            <w:r w:rsidRPr="006D7FEE">
              <w:tab/>
              <w:t>Construct an abseil rig in routine and non-routine multi pitch contexts.</w:t>
            </w:r>
          </w:p>
        </w:tc>
      </w:tr>
    </w:tbl>
    <w:p w:rsidR="00000000" w:rsidRPr="006D7FEE" w:rsidP="006D7FEE">
      <w:pPr>
        <w:pStyle w:val="BodyText"/>
      </w:pPr>
    </w:p>
    <w:p w:rsidR="00000000" w:rsidRPr="006D7FEE" w:rsidP="006D7FEE">
      <w:pPr>
        <w:pStyle w:val="AllowPageBreak"/>
      </w:pPr>
    </w:p>
    <w:p w:rsidR="00000000" w:rsidRPr="006D7FEE" w:rsidP="006D7FEE">
      <w:pPr>
        <w:pStyle w:val="Heading1"/>
      </w:pPr>
      <w:bookmarkStart w:id="9" w:name="O_364344"/>
      <w:bookmarkEnd w:id="9"/>
      <w:r w:rsidRPr="006D7FEE">
        <w:t>Required Skills and Knowledge</w:t>
      </w:r>
    </w:p>
    <w:tbl>
      <w:tblPr>
        <w:tblW w:w="0" w:type="auto"/>
        <w:tblLayout w:type="fixed"/>
        <w:tblCellMar>
          <w:left w:w="62" w:type="dxa"/>
          <w:right w:w="62" w:type="dxa"/>
        </w:tblCellMar>
        <w:tblLook w:val="0000"/>
      </w:tblPr>
      <w:tblGrid>
        <w:gridCol w:w="8522"/>
      </w:tblGrid>
      <w:tr w:rsidTr="00DB633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6D7FEE">
            <w:pPr>
              <w:pStyle w:val="BodyText"/>
              <w:rPr>
                <w:lang w:val="en-NZ"/>
              </w:rPr>
            </w:pPr>
            <w:r w:rsidRPr="006D7FEE">
              <w:t>This section describes the skills</w:t>
            </w:r>
            <w:r w:rsidRPr="006D7FEE">
              <w:t xml:space="preserve"> and knowledge required for this unit.</w:t>
            </w:r>
          </w:p>
        </w:tc>
      </w:tr>
      <w:tr w:rsidTr="00DB633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6D7FEE">
            <w:pPr>
              <w:pStyle w:val="BodyText"/>
              <w:rPr>
                <w:lang w:val="en-NZ"/>
              </w:rPr>
            </w:pPr>
            <w:r w:rsidRPr="006D7FEE">
              <w:rPr>
                <w:rStyle w:val="SpecialBold"/>
              </w:rPr>
              <w:t>Required skills</w:t>
            </w:r>
          </w:p>
        </w:tc>
      </w:tr>
      <w:tr w:rsidTr="00DB633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6D7FEE" w:rsidP="006D7FEE">
            <w:pPr>
              <w:pStyle w:val="ListBullet"/>
            </w:pPr>
            <w:r w:rsidRPr="006D7FEE">
              <w:t>problem-solving skills to:</w:t>
            </w:r>
          </w:p>
          <w:p w:rsidR="00000000" w:rsidRPr="006D7FEE" w:rsidP="006D7FEE">
            <w:pPr>
              <w:pStyle w:val="ListBullet2"/>
            </w:pPr>
            <w:r w:rsidRPr="006D7FEE">
              <w:t xml:space="preserve">minimise and or eliminate hazards </w:t>
            </w:r>
          </w:p>
          <w:p w:rsidR="00000000" w:rsidRPr="006D7FEE" w:rsidP="006D7FEE">
            <w:pPr>
              <w:pStyle w:val="ListBullet2"/>
            </w:pPr>
            <w:r w:rsidRPr="006D7FEE">
              <w:t xml:space="preserve">select anchors and belay systems for the context and conditions of canyoning activity </w:t>
            </w:r>
          </w:p>
          <w:p w:rsidR="00000000" w:rsidRPr="006D7FEE" w:rsidP="006D7FEE">
            <w:pPr>
              <w:pStyle w:val="ListBullet"/>
            </w:pPr>
            <w:r w:rsidRPr="006D7FEE">
              <w:t xml:space="preserve">complex rope handling and knot tying skills to rig ropes and anchors </w:t>
            </w:r>
          </w:p>
          <w:p w:rsidR="00000000" w:rsidP="006D7FEE">
            <w:pPr>
              <w:pStyle w:val="ListBullet"/>
              <w:rPr>
                <w:lang w:val="en-NZ"/>
              </w:rPr>
            </w:pPr>
            <w:r w:rsidRPr="006D7FEE">
              <w:t>first aid and emergency response skills appropriate to the location to enable initial response to emergencies and personal health care.</w:t>
            </w:r>
          </w:p>
        </w:tc>
      </w:tr>
      <w:tr w:rsidTr="00DB633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6D7FEE">
            <w:pPr>
              <w:pStyle w:val="BodyText"/>
              <w:rPr>
                <w:lang w:val="en-NZ"/>
              </w:rPr>
            </w:pPr>
            <w:r w:rsidRPr="006D7FEE">
              <w:rPr>
                <w:rStyle w:val="SpecialBold"/>
              </w:rPr>
              <w:t>Required knowledge</w:t>
            </w:r>
          </w:p>
        </w:tc>
      </w:tr>
      <w:tr w:rsidTr="00DB633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6D7FEE" w:rsidP="006D7FEE">
            <w:pPr>
              <w:pStyle w:val="ListBullet"/>
            </w:pPr>
            <w:r w:rsidRPr="006D7FEE">
              <w:t>legislation and organisational policies and procedures to enable safe conduct and legal access of all belaying activities conducted in a canyon</w:t>
            </w:r>
          </w:p>
          <w:p w:rsidR="00000000" w:rsidRPr="006D7FEE" w:rsidP="006D7FEE">
            <w:pPr>
              <w:pStyle w:val="ListBullet"/>
            </w:pPr>
            <w:r w:rsidRPr="006D7FEE">
              <w:t>minimal impact canyoning codes to ensure protection of the environment</w:t>
            </w:r>
          </w:p>
          <w:p w:rsidR="00000000" w:rsidRPr="006D7FEE" w:rsidP="006D7FEE">
            <w:pPr>
              <w:pStyle w:val="ListBullet"/>
            </w:pPr>
            <w:r w:rsidRPr="006D7FEE">
              <w:t>equipment types, characteristics and tech</w:t>
            </w:r>
            <w:r w:rsidRPr="006D7FEE">
              <w:t>nology used to establish complex belays for abseiling in canyons</w:t>
            </w:r>
          </w:p>
          <w:p w:rsidR="00000000" w:rsidRPr="006D7FEE" w:rsidP="006D7FEE">
            <w:pPr>
              <w:pStyle w:val="ListBullet"/>
            </w:pPr>
            <w:r w:rsidRPr="006D7FEE">
              <w:t xml:space="preserve">care and maintenance of equipment to ensure prolonged life span and safety requirements, as advised by the manufacturer's recommendations for equipment use </w:t>
            </w:r>
          </w:p>
          <w:p w:rsidR="00000000" w:rsidRPr="006D7FEE" w:rsidP="006D7FEE">
            <w:pPr>
              <w:pStyle w:val="ListBullet"/>
            </w:pPr>
            <w:r w:rsidRPr="006D7FEE">
              <w:t>belay and anchor systems appropria</w:t>
            </w:r>
            <w:r w:rsidRPr="006D7FEE">
              <w:t>te for multi pitch natural surfaces</w:t>
            </w:r>
          </w:p>
          <w:p w:rsidR="00000000" w:rsidRPr="006D7FEE" w:rsidP="006D7FEE">
            <w:pPr>
              <w:pStyle w:val="ListBullet"/>
            </w:pPr>
            <w:r w:rsidRPr="006D7FEE">
              <w:t xml:space="preserve">technical abseiling and equipment knowledge to establish top and bottom belays </w:t>
            </w:r>
          </w:p>
          <w:p w:rsidR="00000000" w:rsidRPr="006D7FEE" w:rsidP="006D7FEE">
            <w:pPr>
              <w:pStyle w:val="ListBullet"/>
            </w:pPr>
            <w:r w:rsidRPr="006D7FEE">
              <w:t>advantages and disadvantages of different knots, and their impact on roping activities</w:t>
            </w:r>
          </w:p>
          <w:p w:rsidR="00000000" w:rsidRPr="006D7FEE" w:rsidP="006D7FEE">
            <w:pPr>
              <w:pStyle w:val="ListBullet"/>
            </w:pPr>
            <w:r w:rsidRPr="006D7FEE">
              <w:t>emergency procedures, potential hazards and obstacles</w:t>
            </w:r>
            <w:r w:rsidRPr="006D7FEE">
              <w:t xml:space="preserve"> relevant to the location to ensure safety of self and others.</w:t>
            </w:r>
          </w:p>
        </w:tc>
      </w:tr>
    </w:tbl>
    <w:p w:rsidR="00000000" w:rsidRPr="006D7FEE" w:rsidP="006D7FEE">
      <w:pPr>
        <w:pStyle w:val="BodyText"/>
      </w:pPr>
    </w:p>
    <w:p w:rsidR="00000000" w:rsidRPr="006D7FEE" w:rsidP="006D7FEE">
      <w:pPr>
        <w:pStyle w:val="AllowPageBreak"/>
      </w:pPr>
    </w:p>
    <w:p w:rsidR="00000000" w:rsidRPr="006D7FEE" w:rsidP="006D7FEE">
      <w:pPr>
        <w:pStyle w:val="Heading1"/>
      </w:pPr>
      <w:bookmarkStart w:id="10" w:name="O_364350"/>
      <w:bookmarkEnd w:id="10"/>
      <w:r w:rsidRPr="006D7FEE">
        <w:t>Evidence Guide</w:t>
      </w:r>
    </w:p>
    <w:tbl>
      <w:tblPr>
        <w:tblW w:w="9570" w:type="dxa"/>
        <w:tblLayout w:type="fixed"/>
        <w:tblCellMar>
          <w:left w:w="62" w:type="dxa"/>
          <w:right w:w="62" w:type="dxa"/>
        </w:tblCellMar>
        <w:tblLook w:val="0000"/>
      </w:tblPr>
      <w:tblGrid>
        <w:gridCol w:w="3908"/>
        <w:gridCol w:w="5662"/>
      </w:tblGrid>
      <w:tr w:rsidTr="00DB6330">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6D7FEE">
            <w:pPr>
              <w:pStyle w:val="BodyText"/>
              <w:rPr>
                <w:lang w:val="en-NZ"/>
              </w:rPr>
            </w:pPr>
            <w:r w:rsidRPr="006D7FEE">
              <w:t xml:space="preserve">The evidence guide provides advice on assessment and must be read in conjunction with the performance criteria, required skills and knowledge, range statement </w:t>
            </w:r>
            <w:r w:rsidRPr="006D7FEE">
              <w:t>and the Assessment Guidelines for the Training Package.</w:t>
            </w:r>
          </w:p>
        </w:tc>
      </w:tr>
      <w:tr w:rsidTr="00DB6330">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6D7FEE">
            <w:pPr>
              <w:pStyle w:val="BodyText"/>
              <w:rPr>
                <w:lang w:val="en-NZ"/>
              </w:rPr>
            </w:pPr>
            <w:r w:rsidRPr="006D7FEE">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6D7FEE">
            <w:pPr>
              <w:pStyle w:val="BodyText"/>
              <w:rPr>
                <w:lang w:val="en-NZ"/>
              </w:rPr>
            </w:pPr>
          </w:p>
        </w:tc>
      </w:tr>
      <w:tr w:rsidTr="00DB6330">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6D7FEE">
            <w:pPr>
              <w:pStyle w:val="BodyText"/>
              <w:rPr>
                <w:lang w:val="en-NZ"/>
              </w:rPr>
            </w:pPr>
            <w:r w:rsidRPr="006D7FEE">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6D7FEE" w:rsidP="006D7FEE">
            <w:pPr>
              <w:pStyle w:val="BodyText"/>
            </w:pPr>
            <w:r w:rsidRPr="006D7FEE">
              <w:t>Evidence of the following is essential:</w:t>
            </w:r>
          </w:p>
          <w:p w:rsidR="00000000" w:rsidRPr="006D7FEE" w:rsidP="006D7FEE">
            <w:pPr>
              <w:pStyle w:val="ListBullet"/>
            </w:pPr>
            <w:r w:rsidRPr="006D7FEE">
              <w:t>selects equipment and conducts safety checks to ensure effective working order</w:t>
            </w:r>
          </w:p>
          <w:p w:rsidR="00000000" w:rsidRPr="006D7FEE" w:rsidP="006D7FEE">
            <w:pPr>
              <w:pStyle w:val="ListBullet"/>
            </w:pPr>
            <w:r w:rsidRPr="006D7FEE">
              <w:t>identifies factors affecting the stability and selection of fixed, natural and or artificial anchors, and selects anchors for simple, complex, single and multi-pitch abseils tha</w:t>
            </w:r>
            <w:r w:rsidRPr="006D7FEE">
              <w:t>t are suitable for differing participant abilities and rigging situations in a canyon environment</w:t>
            </w:r>
          </w:p>
          <w:p w:rsidR="00000000" w:rsidP="006D7FEE">
            <w:pPr>
              <w:pStyle w:val="ListBullet"/>
              <w:rPr>
                <w:lang w:val="en-NZ"/>
              </w:rPr>
            </w:pPr>
            <w:r w:rsidRPr="006D7FEE">
              <w:t>determines the need for, and establishes, back up belay systems to ensure safety of self and other participants.</w:t>
            </w:r>
          </w:p>
        </w:tc>
      </w:tr>
      <w:tr w:rsidTr="00DB6330">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6D7FEE">
            <w:pPr>
              <w:pStyle w:val="BodyText"/>
              <w:rPr>
                <w:lang w:val="en-NZ"/>
              </w:rPr>
            </w:pPr>
            <w:r w:rsidRPr="006D7FEE">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6D7FEE" w:rsidP="006D7FEE">
            <w:pPr>
              <w:pStyle w:val="BodyText"/>
            </w:pPr>
            <w:r w:rsidRPr="006D7FEE">
              <w:t xml:space="preserve">Assessment must ensure establishment of multiple complex belays in canyon environments to demonstrate competency and consistency of performance.  </w:t>
            </w:r>
          </w:p>
          <w:p w:rsidR="00000000" w:rsidRPr="006D7FEE" w:rsidP="006D7FEE">
            <w:pPr>
              <w:pStyle w:val="BodyText"/>
            </w:pPr>
            <w:r w:rsidRPr="006D7FEE">
              <w:t>Assessment must also ensure access to:</w:t>
            </w:r>
          </w:p>
          <w:p w:rsidR="00000000" w:rsidRPr="006D7FEE" w:rsidP="006D7FEE">
            <w:pPr>
              <w:pStyle w:val="ListBullet"/>
            </w:pPr>
            <w:r w:rsidRPr="006D7FEE">
              <w:t>suitable canyoning l</w:t>
            </w:r>
            <w:r w:rsidRPr="006D7FEE">
              <w:t>ocations with vertical multi pitches, a variety of anchors, hazards, obstacles and features that allow participant to demonstrate a variety of rigging skills</w:t>
            </w:r>
          </w:p>
          <w:p w:rsidR="00000000" w:rsidP="006D7FEE">
            <w:pPr>
              <w:pStyle w:val="ListBullet"/>
              <w:rPr>
                <w:lang w:val="en-NZ"/>
              </w:rPr>
            </w:pPr>
            <w:r w:rsidRPr="006D7FEE">
              <w:t>equipment required for the establishment of complex belays.</w:t>
            </w:r>
          </w:p>
        </w:tc>
      </w:tr>
      <w:tr w:rsidTr="00DB6330">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6D7FEE">
            <w:pPr>
              <w:pStyle w:val="BodyText"/>
              <w:rPr>
                <w:lang w:val="en-NZ"/>
              </w:rPr>
            </w:pPr>
            <w:r w:rsidRPr="006D7FEE">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6D7FEE" w:rsidP="006D7FEE">
            <w:pPr>
              <w:pStyle w:val="BodyText"/>
            </w:pPr>
            <w:r w:rsidRPr="006D7FEE">
              <w:t>A range of asses</w:t>
            </w:r>
            <w:r w:rsidRPr="006D7FEE">
              <w:t xml:space="preserve">sment methods should be used to assess practical skills and knowledge. The following examples are appropriate for this unit: </w:t>
            </w:r>
          </w:p>
          <w:p w:rsidR="00000000" w:rsidRPr="006D7FEE" w:rsidP="006D7FEE">
            <w:pPr>
              <w:pStyle w:val="ListBullet"/>
            </w:pPr>
            <w:r w:rsidRPr="006D7FEE">
              <w:t xml:space="preserve">observation of selecting equipment according to contextual issues </w:t>
            </w:r>
          </w:p>
          <w:p w:rsidR="00000000" w:rsidRPr="006D7FEE" w:rsidP="006D7FEE">
            <w:pPr>
              <w:pStyle w:val="ListBullet"/>
            </w:pPr>
            <w:r w:rsidRPr="006D7FEE">
              <w:t>observation of safe participation and demonstration of setting</w:t>
            </w:r>
            <w:r w:rsidRPr="006D7FEE">
              <w:t xml:space="preserve"> up a broad range of belay systems and anchors suitable to different contexts and participants </w:t>
            </w:r>
          </w:p>
          <w:p w:rsidR="00000000" w:rsidRPr="006D7FEE" w:rsidP="006D7FEE">
            <w:pPr>
              <w:pStyle w:val="ListBullet"/>
            </w:pPr>
            <w:r w:rsidRPr="006D7FEE">
              <w:t xml:space="preserve">observation of dealing with contingencies, such as equipment failure </w:t>
            </w:r>
          </w:p>
          <w:p w:rsidR="00000000" w:rsidRPr="006D7FEE" w:rsidP="006D7FEE">
            <w:pPr>
              <w:pStyle w:val="ListBullet"/>
            </w:pPr>
            <w:r w:rsidRPr="006D7FEE">
              <w:t>oral or written questioning to assess knowledge of relevant legislation and organisational</w:t>
            </w:r>
            <w:r w:rsidRPr="006D7FEE">
              <w:t xml:space="preserve"> policies and procedures, and factors affecting the stability and selection of fixed, natural and or artificial anchors for simple, complex, single and multi-pitch abseils </w:t>
            </w:r>
          </w:p>
          <w:p w:rsidR="00000000" w:rsidRPr="006D7FEE" w:rsidP="006D7FEE">
            <w:pPr>
              <w:pStyle w:val="ListBullet"/>
            </w:pPr>
            <w:r w:rsidRPr="006D7FEE">
              <w:t xml:space="preserve">third-party reports from a supervisor detailing performance. </w:t>
            </w:r>
          </w:p>
          <w:p w:rsidR="00000000" w:rsidRPr="006D7FEE" w:rsidP="006D7FEE">
            <w:pPr>
              <w:pStyle w:val="BodyText"/>
            </w:pPr>
            <w:r w:rsidRPr="006D7FEE">
              <w:t>Holistic assessment w</w:t>
            </w:r>
            <w:r w:rsidRPr="006D7FEE">
              <w:t>ith other units relevant to the industry sector, workplace and job role is recommended, for example:</w:t>
            </w:r>
          </w:p>
          <w:p w:rsidR="00000000" w:rsidRPr="006D7FEE" w:rsidP="006D7FEE">
            <w:pPr>
              <w:pStyle w:val="ListBullet"/>
            </w:pPr>
            <w:r w:rsidRPr="006D7FEE">
              <w:t>SISOCAY405A Apply advanced vertical canyoning skills</w:t>
            </w:r>
          </w:p>
          <w:p w:rsidR="00000000" w:rsidRPr="006D7FEE" w:rsidP="006D7FEE">
            <w:pPr>
              <w:pStyle w:val="ListBullet"/>
            </w:pPr>
            <w:r w:rsidRPr="006D7FEE">
              <w:t>SISOVTR402A Perform complex vertical rescues.</w:t>
            </w:r>
          </w:p>
        </w:tc>
      </w:tr>
    </w:tbl>
    <w:p w:rsidR="00000000" w:rsidRPr="006D7FEE" w:rsidP="006D7FEE">
      <w:pPr>
        <w:pStyle w:val="BodyText"/>
      </w:pPr>
    </w:p>
    <w:p w:rsidR="00000000" w:rsidRPr="006D7FEE" w:rsidP="006D7FEE">
      <w:pPr>
        <w:pStyle w:val="AllowPageBreak"/>
      </w:pPr>
    </w:p>
    <w:p w:rsidR="00000000" w:rsidRPr="006D7FEE" w:rsidP="006D7FEE">
      <w:pPr>
        <w:pStyle w:val="Heading1"/>
      </w:pPr>
      <w:bookmarkStart w:id="11" w:name="O_364345"/>
      <w:bookmarkEnd w:id="11"/>
      <w:r w:rsidRPr="006D7FEE">
        <w:t>Range Statement</w:t>
      </w:r>
    </w:p>
    <w:tbl>
      <w:tblPr>
        <w:tblW w:w="0" w:type="auto"/>
        <w:tblLayout w:type="fixed"/>
        <w:tblCellMar>
          <w:left w:w="62" w:type="dxa"/>
          <w:right w:w="62" w:type="dxa"/>
        </w:tblCellMar>
        <w:tblLook w:val="0000"/>
      </w:tblPr>
      <w:tblGrid>
        <w:gridCol w:w="3515"/>
        <w:gridCol w:w="5007"/>
      </w:tblGrid>
      <w:tr w:rsidTr="00DB6330">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6D7FEE">
            <w:pPr>
              <w:pStyle w:val="BodyText"/>
              <w:rPr>
                <w:lang w:val="en-NZ"/>
              </w:rPr>
            </w:pPr>
            <w:r w:rsidRPr="006D7FEE">
              <w:t>The range statement relates to the unit of competency as a whole. It allows for different work environments and situations that may affect performance. Bold italicised wording, if used in the performance criteria, is detailed below. Essential operating con</w:t>
            </w:r>
            <w:r w:rsidRPr="006D7FEE">
              <w:t>ditions that may be present with training and assessment (depending on the work situation, needs of the candidate, accessibility of the item, and local industry and regional contexts) may also be included.</w:t>
            </w:r>
          </w:p>
        </w:tc>
      </w:tr>
      <w:tr w:rsidTr="00DB6330">
        <w:tblPrEx>
          <w:tblW w:w="0" w:type="auto"/>
          <w:tblLayout w:type="fixed"/>
          <w:tblCellMar>
            <w:left w:w="62" w:type="dxa"/>
            <w:right w:w="62" w:type="dxa"/>
          </w:tblCellMar>
          <w:tblLook w:val="0000"/>
        </w:tblPrEx>
        <w:tc>
          <w:tcPr>
            <w:tcW w:w="3515" w:type="dxa"/>
            <w:tcBorders>
              <w:top w:val="nil"/>
              <w:left w:val="nil"/>
              <w:bottom w:val="nil"/>
              <w:right w:val="nil"/>
            </w:tcBorders>
            <w:tcMar>
              <w:top w:w="0" w:type="dxa"/>
              <w:left w:w="62" w:type="dxa"/>
              <w:bottom w:w="0" w:type="dxa"/>
              <w:right w:w="62" w:type="dxa"/>
            </w:tcMar>
          </w:tcPr>
          <w:p w:rsidR="00000000" w:rsidP="006D7FEE">
            <w:pPr>
              <w:pStyle w:val="BodyText"/>
              <w:rPr>
                <w:lang w:val="en-NZ"/>
              </w:rPr>
            </w:pPr>
            <w:r w:rsidRPr="006D7FEE">
              <w:rPr>
                <w:rStyle w:val="BoldandItalics"/>
              </w:rPr>
              <w:t>Belay system</w:t>
            </w:r>
            <w:r w:rsidRPr="006D7FEE">
              <w:t xml:space="preserve"> may include:</w:t>
            </w:r>
          </w:p>
        </w:tc>
        <w:tc>
          <w:tcPr>
            <w:tcW w:w="5007" w:type="dxa"/>
            <w:tcBorders>
              <w:top w:val="nil"/>
              <w:left w:val="nil"/>
              <w:bottom w:val="nil"/>
              <w:right w:val="nil"/>
            </w:tcBorders>
            <w:tcMar>
              <w:top w:w="0" w:type="dxa"/>
              <w:left w:w="62" w:type="dxa"/>
              <w:bottom w:w="0" w:type="dxa"/>
              <w:right w:w="62" w:type="dxa"/>
            </w:tcMar>
          </w:tcPr>
          <w:p w:rsidR="00000000" w:rsidRPr="006D7FEE" w:rsidP="006D7FEE">
            <w:pPr>
              <w:pStyle w:val="ListBullet"/>
            </w:pPr>
            <w:r w:rsidRPr="006D7FEE">
              <w:t xml:space="preserve">top of a pitch </w:t>
            </w:r>
          </w:p>
          <w:p w:rsidR="00000000" w:rsidRPr="006D7FEE" w:rsidP="006D7FEE">
            <w:pPr>
              <w:pStyle w:val="ListBullet"/>
            </w:pPr>
            <w:r w:rsidRPr="006D7FEE">
              <w:t xml:space="preserve">bottom of the pitch </w:t>
            </w:r>
          </w:p>
          <w:p w:rsidR="00000000" w:rsidP="006D7FEE">
            <w:pPr>
              <w:pStyle w:val="ListBullet"/>
              <w:rPr>
                <w:lang w:val="en-NZ"/>
              </w:rPr>
            </w:pPr>
            <w:r w:rsidRPr="006D7FEE">
              <w:t>self belay.</w:t>
            </w:r>
          </w:p>
        </w:tc>
      </w:tr>
      <w:tr w:rsidTr="00DB6330">
        <w:tblPrEx>
          <w:tblW w:w="0" w:type="auto"/>
          <w:tblLayout w:type="fixed"/>
          <w:tblCellMar>
            <w:left w:w="62" w:type="dxa"/>
            <w:right w:w="62" w:type="dxa"/>
          </w:tblCellMar>
          <w:tblLook w:val="0000"/>
        </w:tblPrEx>
        <w:tc>
          <w:tcPr>
            <w:tcW w:w="3515" w:type="dxa"/>
            <w:tcBorders>
              <w:top w:val="nil"/>
              <w:left w:val="nil"/>
              <w:bottom w:val="nil"/>
              <w:right w:val="nil"/>
            </w:tcBorders>
            <w:tcMar>
              <w:top w:w="0" w:type="dxa"/>
              <w:left w:w="62" w:type="dxa"/>
              <w:bottom w:w="0" w:type="dxa"/>
              <w:right w:w="62" w:type="dxa"/>
            </w:tcMar>
          </w:tcPr>
          <w:p w:rsidR="00000000" w:rsidP="006D7FEE">
            <w:pPr>
              <w:pStyle w:val="BodyText"/>
              <w:rPr>
                <w:lang w:val="en-NZ"/>
              </w:rPr>
            </w:pPr>
            <w:r w:rsidRPr="006D7FEE">
              <w:rPr>
                <w:rStyle w:val="BoldandItalics"/>
              </w:rPr>
              <w:t>Environmental impact</w:t>
            </w:r>
            <w:r w:rsidRPr="006D7FEE">
              <w:t xml:space="preserve"> may include:</w:t>
            </w:r>
          </w:p>
        </w:tc>
        <w:tc>
          <w:tcPr>
            <w:tcW w:w="5007" w:type="dxa"/>
            <w:tcBorders>
              <w:top w:val="nil"/>
              <w:left w:val="nil"/>
              <w:bottom w:val="nil"/>
              <w:right w:val="nil"/>
            </w:tcBorders>
            <w:tcMar>
              <w:top w:w="0" w:type="dxa"/>
              <w:left w:w="62" w:type="dxa"/>
              <w:bottom w:w="0" w:type="dxa"/>
              <w:right w:w="62" w:type="dxa"/>
            </w:tcMar>
          </w:tcPr>
          <w:p w:rsidR="00000000" w:rsidRPr="006D7FEE" w:rsidP="006D7FEE">
            <w:pPr>
              <w:pStyle w:val="ListBullet"/>
            </w:pPr>
            <w:r w:rsidRPr="006D7FEE">
              <w:t xml:space="preserve">rock dislodgement </w:t>
            </w:r>
          </w:p>
          <w:p w:rsidR="00000000" w:rsidRPr="006D7FEE" w:rsidP="006D7FEE">
            <w:pPr>
              <w:pStyle w:val="ListBullet"/>
            </w:pPr>
            <w:r w:rsidRPr="006D7FEE">
              <w:t xml:space="preserve">compacting of soil </w:t>
            </w:r>
          </w:p>
          <w:p w:rsidR="00000000" w:rsidRPr="006D7FEE" w:rsidP="006D7FEE">
            <w:pPr>
              <w:pStyle w:val="ListBullet"/>
            </w:pPr>
            <w:r w:rsidRPr="006D7FEE">
              <w:t>effect on other users of the site</w:t>
            </w:r>
          </w:p>
          <w:p w:rsidR="00000000" w:rsidP="006D7FEE">
            <w:pPr>
              <w:pStyle w:val="ListBullet"/>
              <w:rPr>
                <w:lang w:val="en-NZ"/>
              </w:rPr>
            </w:pPr>
            <w:r w:rsidRPr="006D7FEE">
              <w:t>damage to flora, fauna, and the environment.</w:t>
            </w:r>
          </w:p>
        </w:tc>
      </w:tr>
      <w:tr w:rsidTr="00DB6330">
        <w:tblPrEx>
          <w:tblW w:w="0" w:type="auto"/>
          <w:tblLayout w:type="fixed"/>
          <w:tblCellMar>
            <w:left w:w="62" w:type="dxa"/>
            <w:right w:w="62" w:type="dxa"/>
          </w:tblCellMar>
          <w:tblLook w:val="0000"/>
        </w:tblPrEx>
        <w:tc>
          <w:tcPr>
            <w:tcW w:w="3515" w:type="dxa"/>
            <w:tcBorders>
              <w:top w:val="nil"/>
              <w:left w:val="nil"/>
              <w:bottom w:val="nil"/>
              <w:right w:val="nil"/>
            </w:tcBorders>
            <w:tcMar>
              <w:top w:w="0" w:type="dxa"/>
              <w:left w:w="62" w:type="dxa"/>
              <w:bottom w:w="0" w:type="dxa"/>
              <w:right w:w="62" w:type="dxa"/>
            </w:tcMar>
          </w:tcPr>
          <w:p w:rsidR="00000000" w:rsidP="006D7FEE">
            <w:pPr>
              <w:pStyle w:val="BodyText"/>
              <w:rPr>
                <w:lang w:val="en-NZ"/>
              </w:rPr>
            </w:pPr>
            <w:r w:rsidRPr="006D7FEE">
              <w:rPr>
                <w:rStyle w:val="BoldandItalics"/>
              </w:rPr>
              <w:t>Contextual issues</w:t>
            </w:r>
            <w:r w:rsidRPr="006D7FEE">
              <w:t xml:space="preserve"> may include:</w:t>
            </w:r>
          </w:p>
        </w:tc>
        <w:tc>
          <w:tcPr>
            <w:tcW w:w="5007" w:type="dxa"/>
            <w:tcBorders>
              <w:top w:val="nil"/>
              <w:left w:val="nil"/>
              <w:bottom w:val="nil"/>
              <w:right w:val="nil"/>
            </w:tcBorders>
            <w:tcMar>
              <w:top w:w="0" w:type="dxa"/>
              <w:left w:w="62" w:type="dxa"/>
              <w:bottom w:w="0" w:type="dxa"/>
              <w:right w:w="62" w:type="dxa"/>
            </w:tcMar>
          </w:tcPr>
          <w:p w:rsidR="00000000" w:rsidRPr="006D7FEE" w:rsidP="006D7FEE">
            <w:pPr>
              <w:pStyle w:val="ListBullet"/>
            </w:pPr>
            <w:r w:rsidRPr="006D7FEE">
              <w:t>weather conditions, including times</w:t>
            </w:r>
          </w:p>
          <w:p w:rsidR="00000000" w:rsidRPr="006D7FEE" w:rsidP="006D7FEE">
            <w:pPr>
              <w:pStyle w:val="ListBullet"/>
            </w:pPr>
            <w:r w:rsidRPr="006D7FEE">
              <w:t>season</w:t>
            </w:r>
          </w:p>
          <w:p w:rsidR="00000000" w:rsidRPr="006D7FEE" w:rsidP="006D7FEE">
            <w:pPr>
              <w:pStyle w:val="ListBullet"/>
            </w:pPr>
            <w:r w:rsidRPr="006D7FEE">
              <w:t>transport</w:t>
            </w:r>
          </w:p>
          <w:p w:rsidR="00000000" w:rsidRPr="006D7FEE" w:rsidP="006D7FEE">
            <w:pPr>
              <w:pStyle w:val="ListBullet"/>
            </w:pPr>
            <w:r w:rsidRPr="006D7FEE">
              <w:t>location</w:t>
            </w:r>
          </w:p>
          <w:p w:rsidR="00000000" w:rsidRPr="006D7FEE" w:rsidP="006D7FEE">
            <w:pPr>
              <w:pStyle w:val="ListBullet"/>
            </w:pPr>
            <w:r w:rsidRPr="006D7FEE">
              <w:t>trip distance and duration</w:t>
            </w:r>
          </w:p>
          <w:p w:rsidR="00000000" w:rsidRPr="006D7FEE" w:rsidP="006D7FEE">
            <w:pPr>
              <w:pStyle w:val="ListBullet"/>
            </w:pPr>
            <w:r w:rsidRPr="006D7FEE">
              <w:t>group objectives</w:t>
            </w:r>
          </w:p>
          <w:p w:rsidR="00000000" w:rsidP="006D7FEE">
            <w:pPr>
              <w:pStyle w:val="ListBullet"/>
              <w:rPr>
                <w:lang w:val="en-NZ"/>
              </w:rPr>
            </w:pPr>
            <w:r w:rsidRPr="006D7FEE">
              <w:t>group size.</w:t>
            </w:r>
          </w:p>
        </w:tc>
      </w:tr>
      <w:tr w:rsidTr="00DB6330">
        <w:tblPrEx>
          <w:tblW w:w="0" w:type="auto"/>
          <w:tblLayout w:type="fixed"/>
          <w:tblCellMar>
            <w:left w:w="62" w:type="dxa"/>
            <w:right w:w="62" w:type="dxa"/>
          </w:tblCellMar>
          <w:tblLook w:val="0000"/>
        </w:tblPrEx>
        <w:tc>
          <w:tcPr>
            <w:tcW w:w="3515" w:type="dxa"/>
            <w:tcBorders>
              <w:top w:val="nil"/>
              <w:left w:val="nil"/>
              <w:bottom w:val="nil"/>
              <w:right w:val="nil"/>
            </w:tcBorders>
            <w:tcMar>
              <w:top w:w="0" w:type="dxa"/>
              <w:left w:w="62" w:type="dxa"/>
              <w:bottom w:w="0" w:type="dxa"/>
              <w:right w:w="62" w:type="dxa"/>
            </w:tcMar>
          </w:tcPr>
          <w:p w:rsidR="00000000" w:rsidP="006D7FEE">
            <w:pPr>
              <w:pStyle w:val="BodyText"/>
              <w:rPr>
                <w:lang w:val="en-NZ"/>
              </w:rPr>
            </w:pPr>
            <w:r w:rsidRPr="006D7FEE">
              <w:rPr>
                <w:rStyle w:val="BoldandItalics"/>
              </w:rPr>
              <w:t>Equipment</w:t>
            </w:r>
            <w:r w:rsidRPr="006D7FEE">
              <w:t xml:space="preserve"> may include:</w:t>
            </w:r>
          </w:p>
        </w:tc>
        <w:tc>
          <w:tcPr>
            <w:tcW w:w="5007" w:type="dxa"/>
            <w:tcBorders>
              <w:top w:val="nil"/>
              <w:left w:val="nil"/>
              <w:bottom w:val="nil"/>
              <w:right w:val="nil"/>
            </w:tcBorders>
            <w:tcMar>
              <w:top w:w="0" w:type="dxa"/>
              <w:left w:w="62" w:type="dxa"/>
              <w:bottom w:w="0" w:type="dxa"/>
              <w:right w:w="62" w:type="dxa"/>
            </w:tcMar>
          </w:tcPr>
          <w:p w:rsidR="00000000" w:rsidRPr="006D7FEE" w:rsidP="006D7FEE">
            <w:pPr>
              <w:pStyle w:val="ListBullet"/>
            </w:pPr>
            <w:r w:rsidRPr="006D7FEE">
              <w:t>ropes</w:t>
            </w:r>
          </w:p>
          <w:p w:rsidR="00000000" w:rsidRPr="006D7FEE" w:rsidP="006D7FEE">
            <w:pPr>
              <w:pStyle w:val="ListBullet"/>
            </w:pPr>
            <w:r w:rsidRPr="006D7FEE">
              <w:t>tape slings</w:t>
            </w:r>
          </w:p>
          <w:p w:rsidR="00000000" w:rsidRPr="006D7FEE" w:rsidP="006D7FEE">
            <w:pPr>
              <w:pStyle w:val="ListBullet"/>
            </w:pPr>
            <w:r w:rsidRPr="006D7FEE">
              <w:t>karabiners</w:t>
            </w:r>
          </w:p>
          <w:p w:rsidR="00000000" w:rsidRPr="006D7FEE" w:rsidP="006D7FEE">
            <w:pPr>
              <w:pStyle w:val="ListBullet"/>
            </w:pPr>
            <w:r w:rsidRPr="006D7FEE">
              <w:t>rope protectors</w:t>
            </w:r>
          </w:p>
          <w:p w:rsidR="00000000" w:rsidRPr="006D7FEE" w:rsidP="006D7FEE">
            <w:pPr>
              <w:pStyle w:val="ListBullet"/>
            </w:pPr>
            <w:r w:rsidRPr="006D7FEE">
              <w:t>belay devices</w:t>
            </w:r>
          </w:p>
          <w:p w:rsidR="00000000" w:rsidP="006D7FEE">
            <w:pPr>
              <w:pStyle w:val="ListBullet"/>
              <w:rPr>
                <w:lang w:val="en-NZ"/>
              </w:rPr>
            </w:pPr>
            <w:r w:rsidRPr="006D7FEE">
              <w:t>descending devices.</w:t>
            </w:r>
          </w:p>
        </w:tc>
      </w:tr>
      <w:tr w:rsidTr="00DB6330">
        <w:tblPrEx>
          <w:tblW w:w="0" w:type="auto"/>
          <w:tblLayout w:type="fixed"/>
          <w:tblCellMar>
            <w:left w:w="62" w:type="dxa"/>
            <w:right w:w="62" w:type="dxa"/>
          </w:tblCellMar>
          <w:tblLook w:val="0000"/>
        </w:tblPrEx>
        <w:tc>
          <w:tcPr>
            <w:tcW w:w="3515" w:type="dxa"/>
            <w:tcBorders>
              <w:top w:val="nil"/>
              <w:left w:val="nil"/>
              <w:bottom w:val="nil"/>
              <w:right w:val="nil"/>
            </w:tcBorders>
            <w:tcMar>
              <w:top w:w="0" w:type="dxa"/>
              <w:left w:w="62" w:type="dxa"/>
              <w:bottom w:w="0" w:type="dxa"/>
              <w:right w:w="62" w:type="dxa"/>
            </w:tcMar>
          </w:tcPr>
          <w:p w:rsidR="00000000" w:rsidP="006D7FEE">
            <w:pPr>
              <w:pStyle w:val="BodyText"/>
              <w:rPr>
                <w:lang w:val="en-NZ"/>
              </w:rPr>
            </w:pPr>
            <w:r w:rsidRPr="006D7FEE">
              <w:rPr>
                <w:rStyle w:val="BoldandItalics"/>
              </w:rPr>
              <w:t>Relevant legislation</w:t>
            </w:r>
            <w:r w:rsidRPr="006D7FEE">
              <w:t xml:space="preserve"> may include:</w:t>
            </w:r>
          </w:p>
        </w:tc>
        <w:tc>
          <w:tcPr>
            <w:tcW w:w="5007" w:type="dxa"/>
            <w:tcBorders>
              <w:top w:val="nil"/>
              <w:left w:val="nil"/>
              <w:bottom w:val="nil"/>
              <w:right w:val="nil"/>
            </w:tcBorders>
            <w:tcMar>
              <w:top w:w="0" w:type="dxa"/>
              <w:left w:w="62" w:type="dxa"/>
              <w:bottom w:w="0" w:type="dxa"/>
              <w:right w:w="62" w:type="dxa"/>
            </w:tcMar>
          </w:tcPr>
          <w:p w:rsidR="00000000" w:rsidRPr="006D7FEE" w:rsidP="006D7FEE">
            <w:pPr>
              <w:pStyle w:val="ListBullet"/>
            </w:pPr>
            <w:r w:rsidRPr="006D7FEE">
              <w:t>occupational health and safety</w:t>
            </w:r>
          </w:p>
          <w:p w:rsidR="00000000" w:rsidRPr="006D7FEE" w:rsidP="006D7FEE">
            <w:pPr>
              <w:pStyle w:val="ListBullet"/>
            </w:pPr>
            <w:r w:rsidRPr="006D7FEE">
              <w:t>permits or permission for access</w:t>
            </w:r>
          </w:p>
          <w:p w:rsidR="00000000" w:rsidP="006D7FEE">
            <w:pPr>
              <w:pStyle w:val="ListBullet"/>
              <w:rPr>
                <w:lang w:val="en-NZ"/>
              </w:rPr>
            </w:pPr>
            <w:r w:rsidRPr="006D7FEE">
              <w:t>environmental regulations.</w:t>
            </w:r>
          </w:p>
        </w:tc>
      </w:tr>
      <w:tr w:rsidTr="00DB6330">
        <w:tblPrEx>
          <w:tblW w:w="0" w:type="auto"/>
          <w:tblLayout w:type="fixed"/>
          <w:tblCellMar>
            <w:left w:w="62" w:type="dxa"/>
            <w:right w:w="62" w:type="dxa"/>
          </w:tblCellMar>
          <w:tblLook w:val="0000"/>
        </w:tblPrEx>
        <w:tc>
          <w:tcPr>
            <w:tcW w:w="3515" w:type="dxa"/>
            <w:tcBorders>
              <w:top w:val="nil"/>
              <w:left w:val="nil"/>
              <w:bottom w:val="nil"/>
              <w:right w:val="nil"/>
            </w:tcBorders>
            <w:tcMar>
              <w:top w:w="0" w:type="dxa"/>
              <w:left w:w="62" w:type="dxa"/>
              <w:bottom w:w="0" w:type="dxa"/>
              <w:right w:w="62" w:type="dxa"/>
            </w:tcMar>
          </w:tcPr>
          <w:p w:rsidR="00000000" w:rsidP="006D7FEE">
            <w:pPr>
              <w:pStyle w:val="BodyText"/>
              <w:rPr>
                <w:lang w:val="en-NZ"/>
              </w:rPr>
            </w:pPr>
            <w:r w:rsidRPr="006D7FEE">
              <w:rPr>
                <w:rStyle w:val="BoldandItalics"/>
              </w:rPr>
              <w:t>Organisational policies and procedures</w:t>
            </w:r>
            <w:r w:rsidRPr="006D7FEE">
              <w:t xml:space="preserve"> may include:</w:t>
            </w:r>
          </w:p>
        </w:tc>
        <w:tc>
          <w:tcPr>
            <w:tcW w:w="5007" w:type="dxa"/>
            <w:tcBorders>
              <w:top w:val="nil"/>
              <w:left w:val="nil"/>
              <w:bottom w:val="nil"/>
              <w:right w:val="nil"/>
            </w:tcBorders>
            <w:tcMar>
              <w:top w:w="0" w:type="dxa"/>
              <w:left w:w="62" w:type="dxa"/>
              <w:bottom w:w="0" w:type="dxa"/>
              <w:right w:w="62" w:type="dxa"/>
            </w:tcMar>
          </w:tcPr>
          <w:p w:rsidR="00000000" w:rsidRPr="006D7FEE" w:rsidP="006D7FEE">
            <w:pPr>
              <w:pStyle w:val="ListBullet"/>
            </w:pPr>
            <w:r w:rsidRPr="006D7FEE">
              <w:t>occupational health and safety</w:t>
            </w:r>
          </w:p>
          <w:p w:rsidR="00000000" w:rsidRPr="006D7FEE" w:rsidP="006D7FEE">
            <w:pPr>
              <w:pStyle w:val="ListBullet"/>
            </w:pPr>
            <w:r w:rsidRPr="006D7FEE">
              <w:t>use and maintenance of equipment</w:t>
            </w:r>
          </w:p>
          <w:p w:rsidR="00000000" w:rsidRPr="006D7FEE" w:rsidP="006D7FEE">
            <w:pPr>
              <w:pStyle w:val="ListBullet"/>
            </w:pPr>
            <w:r w:rsidRPr="006D7FEE">
              <w:t>communication protocols</w:t>
            </w:r>
          </w:p>
          <w:p w:rsidR="00000000" w:rsidRPr="006D7FEE" w:rsidP="006D7FEE">
            <w:pPr>
              <w:pStyle w:val="ListBullet"/>
            </w:pPr>
            <w:r w:rsidRPr="006D7FEE">
              <w:t>safety and emergency procedures</w:t>
            </w:r>
          </w:p>
          <w:p w:rsidR="00000000" w:rsidP="006D7FEE">
            <w:pPr>
              <w:pStyle w:val="ListBullet"/>
              <w:rPr>
                <w:lang w:val="en-NZ"/>
              </w:rPr>
            </w:pPr>
            <w:r w:rsidRPr="006D7FEE">
              <w:t>code of ethics.</w:t>
            </w:r>
          </w:p>
        </w:tc>
      </w:tr>
      <w:tr w:rsidTr="00DB6330">
        <w:tblPrEx>
          <w:tblW w:w="0" w:type="auto"/>
          <w:tblLayout w:type="fixed"/>
          <w:tblCellMar>
            <w:left w:w="62" w:type="dxa"/>
            <w:right w:w="62" w:type="dxa"/>
          </w:tblCellMar>
          <w:tblLook w:val="0000"/>
        </w:tblPrEx>
        <w:tc>
          <w:tcPr>
            <w:tcW w:w="3515" w:type="dxa"/>
            <w:tcBorders>
              <w:top w:val="nil"/>
              <w:left w:val="nil"/>
              <w:bottom w:val="nil"/>
              <w:right w:val="nil"/>
            </w:tcBorders>
            <w:tcMar>
              <w:top w:w="0" w:type="dxa"/>
              <w:left w:w="62" w:type="dxa"/>
              <w:bottom w:w="0" w:type="dxa"/>
              <w:right w:w="62" w:type="dxa"/>
            </w:tcMar>
          </w:tcPr>
          <w:p w:rsidR="00000000" w:rsidP="006D7FEE">
            <w:pPr>
              <w:pStyle w:val="BodyText"/>
              <w:rPr>
                <w:lang w:val="en-NZ"/>
              </w:rPr>
            </w:pPr>
            <w:r w:rsidRPr="006D7FEE">
              <w:rPr>
                <w:rStyle w:val="BoldandItalics"/>
              </w:rPr>
              <w:t>Anchors</w:t>
            </w:r>
            <w:r w:rsidRPr="006D7FEE">
              <w:t xml:space="preserve"> may include:</w:t>
            </w:r>
          </w:p>
        </w:tc>
        <w:tc>
          <w:tcPr>
            <w:tcW w:w="5007" w:type="dxa"/>
            <w:tcBorders>
              <w:top w:val="nil"/>
              <w:left w:val="nil"/>
              <w:bottom w:val="nil"/>
              <w:right w:val="nil"/>
            </w:tcBorders>
            <w:tcMar>
              <w:top w:w="0" w:type="dxa"/>
              <w:left w:w="62" w:type="dxa"/>
              <w:bottom w:w="0" w:type="dxa"/>
              <w:right w:w="62" w:type="dxa"/>
            </w:tcMar>
          </w:tcPr>
          <w:p w:rsidR="00000000" w:rsidRPr="006D7FEE" w:rsidP="006D7FEE">
            <w:pPr>
              <w:pStyle w:val="ListBullet"/>
            </w:pPr>
            <w:r w:rsidRPr="006D7FEE">
              <w:t>natural</w:t>
            </w:r>
          </w:p>
          <w:p w:rsidR="00000000" w:rsidRPr="006D7FEE" w:rsidP="006D7FEE">
            <w:pPr>
              <w:pStyle w:val="ListBullet"/>
            </w:pPr>
            <w:r w:rsidRPr="006D7FEE">
              <w:t>fixed</w:t>
            </w:r>
          </w:p>
          <w:p w:rsidR="00000000" w:rsidP="006D7FEE">
            <w:pPr>
              <w:pStyle w:val="ListBullet"/>
              <w:rPr>
                <w:lang w:val="en-NZ"/>
              </w:rPr>
            </w:pPr>
            <w:r w:rsidRPr="006D7FEE">
              <w:t>artificial.</w:t>
            </w:r>
          </w:p>
        </w:tc>
      </w:tr>
      <w:tr w:rsidTr="00DB6330">
        <w:tblPrEx>
          <w:tblW w:w="0" w:type="auto"/>
          <w:tblLayout w:type="fixed"/>
          <w:tblCellMar>
            <w:left w:w="62" w:type="dxa"/>
            <w:right w:w="62" w:type="dxa"/>
          </w:tblCellMar>
          <w:tblLook w:val="0000"/>
        </w:tblPrEx>
        <w:tc>
          <w:tcPr>
            <w:tcW w:w="3515" w:type="dxa"/>
            <w:tcBorders>
              <w:top w:val="nil"/>
              <w:left w:val="nil"/>
              <w:bottom w:val="nil"/>
              <w:right w:val="nil"/>
            </w:tcBorders>
            <w:tcMar>
              <w:top w:w="0" w:type="dxa"/>
              <w:left w:w="62" w:type="dxa"/>
              <w:bottom w:w="0" w:type="dxa"/>
              <w:right w:w="62" w:type="dxa"/>
            </w:tcMar>
          </w:tcPr>
          <w:p w:rsidR="00000000" w:rsidP="006D7FEE">
            <w:pPr>
              <w:pStyle w:val="BodyText"/>
              <w:rPr>
                <w:lang w:val="en-NZ"/>
              </w:rPr>
            </w:pPr>
            <w:r w:rsidRPr="006D7FEE">
              <w:rPr>
                <w:rStyle w:val="BoldandItalics"/>
              </w:rPr>
              <w:t>Participants</w:t>
            </w:r>
            <w:r w:rsidRPr="006D7FEE">
              <w:t xml:space="preserve"> may include:</w:t>
            </w:r>
          </w:p>
        </w:tc>
        <w:tc>
          <w:tcPr>
            <w:tcW w:w="5007" w:type="dxa"/>
            <w:tcBorders>
              <w:top w:val="nil"/>
              <w:left w:val="nil"/>
              <w:bottom w:val="nil"/>
              <w:right w:val="nil"/>
            </w:tcBorders>
            <w:tcMar>
              <w:top w:w="0" w:type="dxa"/>
              <w:left w:w="62" w:type="dxa"/>
              <w:bottom w:w="0" w:type="dxa"/>
              <w:right w:w="62" w:type="dxa"/>
            </w:tcMar>
          </w:tcPr>
          <w:p w:rsidR="00000000" w:rsidRPr="006D7FEE" w:rsidP="006D7FEE">
            <w:pPr>
              <w:pStyle w:val="ListBullet"/>
            </w:pPr>
            <w:r w:rsidRPr="006D7FEE">
              <w:t xml:space="preserve">experienced </w:t>
            </w:r>
          </w:p>
          <w:p w:rsidR="00000000" w:rsidRPr="006D7FEE" w:rsidP="006D7FEE">
            <w:pPr>
              <w:pStyle w:val="ListBullet"/>
            </w:pPr>
            <w:r w:rsidRPr="006D7FEE">
              <w:t xml:space="preserve">inexperienced </w:t>
            </w:r>
          </w:p>
          <w:p w:rsidR="00000000" w:rsidRPr="006D7FEE" w:rsidP="006D7FEE">
            <w:pPr>
              <w:pStyle w:val="ListBullet"/>
            </w:pPr>
            <w:r w:rsidRPr="006D7FEE">
              <w:t xml:space="preserve">adults </w:t>
            </w:r>
          </w:p>
          <w:p w:rsidR="00000000" w:rsidP="006D7FEE">
            <w:pPr>
              <w:pStyle w:val="ListBullet"/>
              <w:rPr>
                <w:lang w:val="en-NZ"/>
              </w:rPr>
            </w:pPr>
            <w:r w:rsidRPr="006D7FEE">
              <w:t>children.</w:t>
            </w:r>
          </w:p>
        </w:tc>
      </w:tr>
      <w:tr w:rsidTr="00DB6330">
        <w:tblPrEx>
          <w:tblW w:w="0" w:type="auto"/>
          <w:tblLayout w:type="fixed"/>
          <w:tblCellMar>
            <w:left w:w="62" w:type="dxa"/>
            <w:right w:w="62" w:type="dxa"/>
          </w:tblCellMar>
          <w:tblLook w:val="0000"/>
        </w:tblPrEx>
        <w:tc>
          <w:tcPr>
            <w:tcW w:w="3515" w:type="dxa"/>
            <w:tcBorders>
              <w:top w:val="nil"/>
              <w:left w:val="nil"/>
              <w:bottom w:val="nil"/>
              <w:right w:val="nil"/>
            </w:tcBorders>
            <w:tcMar>
              <w:top w:w="0" w:type="dxa"/>
              <w:left w:w="62" w:type="dxa"/>
              <w:bottom w:w="0" w:type="dxa"/>
              <w:right w:w="62" w:type="dxa"/>
            </w:tcMar>
          </w:tcPr>
          <w:p w:rsidR="00000000" w:rsidP="006D7FEE">
            <w:pPr>
              <w:pStyle w:val="BodyText"/>
              <w:rPr>
                <w:lang w:val="en-NZ"/>
              </w:rPr>
            </w:pPr>
            <w:r w:rsidRPr="006D7FEE">
              <w:rPr>
                <w:rStyle w:val="BoldandItalics"/>
              </w:rPr>
              <w:t>Condition of the anchors</w:t>
            </w:r>
            <w:r w:rsidRPr="006D7FEE">
              <w:t xml:space="preserve"> may include:</w:t>
            </w:r>
          </w:p>
        </w:tc>
        <w:tc>
          <w:tcPr>
            <w:tcW w:w="5007" w:type="dxa"/>
            <w:tcBorders>
              <w:top w:val="nil"/>
              <w:left w:val="nil"/>
              <w:bottom w:val="nil"/>
              <w:right w:val="nil"/>
            </w:tcBorders>
            <w:tcMar>
              <w:top w:w="0" w:type="dxa"/>
              <w:left w:w="62" w:type="dxa"/>
              <w:bottom w:w="0" w:type="dxa"/>
              <w:right w:w="62" w:type="dxa"/>
            </w:tcMar>
          </w:tcPr>
          <w:p w:rsidR="00000000" w:rsidRPr="006D7FEE" w:rsidP="006D7FEE">
            <w:pPr>
              <w:pStyle w:val="ListBullet"/>
            </w:pPr>
            <w:r w:rsidRPr="006D7FEE">
              <w:t xml:space="preserve">age </w:t>
            </w:r>
          </w:p>
          <w:p w:rsidR="00000000" w:rsidRPr="006D7FEE" w:rsidP="006D7FEE">
            <w:pPr>
              <w:pStyle w:val="ListBullet"/>
            </w:pPr>
            <w:r w:rsidRPr="006D7FEE">
              <w:t xml:space="preserve">location </w:t>
            </w:r>
          </w:p>
          <w:p w:rsidR="00000000" w:rsidRPr="006D7FEE" w:rsidP="006D7FEE">
            <w:pPr>
              <w:pStyle w:val="ListBullet"/>
            </w:pPr>
            <w:r w:rsidRPr="006D7FEE">
              <w:t xml:space="preserve">wear </w:t>
            </w:r>
          </w:p>
          <w:p w:rsidR="00000000" w:rsidRPr="006D7FEE" w:rsidP="006D7FEE">
            <w:pPr>
              <w:pStyle w:val="ListBullet"/>
            </w:pPr>
            <w:r w:rsidRPr="006D7FEE">
              <w:t xml:space="preserve">decay </w:t>
            </w:r>
          </w:p>
          <w:p w:rsidR="00000000" w:rsidRPr="006D7FEE" w:rsidP="006D7FEE">
            <w:pPr>
              <w:pStyle w:val="ListBullet"/>
            </w:pPr>
            <w:r w:rsidRPr="006D7FEE">
              <w:t xml:space="preserve">corrosion </w:t>
            </w:r>
          </w:p>
          <w:p w:rsidR="00000000" w:rsidRPr="006D7FEE" w:rsidP="006D7FEE">
            <w:pPr>
              <w:pStyle w:val="ListBullet"/>
            </w:pPr>
            <w:r w:rsidRPr="006D7FEE">
              <w:t xml:space="preserve">environmental stress </w:t>
            </w:r>
          </w:p>
          <w:p w:rsidR="00000000" w:rsidP="006D7FEE">
            <w:pPr>
              <w:pStyle w:val="ListBullet"/>
              <w:rPr>
                <w:lang w:val="en-NZ"/>
              </w:rPr>
            </w:pPr>
            <w:r w:rsidRPr="006D7FEE">
              <w:t>insect damage.</w:t>
            </w:r>
          </w:p>
        </w:tc>
      </w:tr>
      <w:tr w:rsidTr="00DB6330">
        <w:tblPrEx>
          <w:tblW w:w="0" w:type="auto"/>
          <w:tblLayout w:type="fixed"/>
          <w:tblCellMar>
            <w:left w:w="62" w:type="dxa"/>
            <w:right w:w="62" w:type="dxa"/>
          </w:tblCellMar>
          <w:tblLook w:val="0000"/>
        </w:tblPrEx>
        <w:tc>
          <w:tcPr>
            <w:tcW w:w="3515" w:type="dxa"/>
            <w:tcBorders>
              <w:top w:val="nil"/>
              <w:left w:val="nil"/>
              <w:bottom w:val="nil"/>
              <w:right w:val="nil"/>
            </w:tcBorders>
            <w:tcMar>
              <w:top w:w="0" w:type="dxa"/>
              <w:left w:w="62" w:type="dxa"/>
              <w:bottom w:w="0" w:type="dxa"/>
              <w:right w:w="62" w:type="dxa"/>
            </w:tcMar>
          </w:tcPr>
          <w:p w:rsidR="00000000" w:rsidP="006D7FEE">
            <w:pPr>
              <w:pStyle w:val="BodyText"/>
              <w:rPr>
                <w:lang w:val="en-NZ"/>
              </w:rPr>
            </w:pPr>
            <w:r w:rsidRPr="006D7FEE">
              <w:rPr>
                <w:rStyle w:val="BoldandItalics"/>
              </w:rPr>
              <w:t>Likely load</w:t>
            </w:r>
            <w:r w:rsidRPr="006D7FEE">
              <w:t xml:space="preserve"> may include:</w:t>
            </w:r>
          </w:p>
        </w:tc>
        <w:tc>
          <w:tcPr>
            <w:tcW w:w="5007" w:type="dxa"/>
            <w:tcBorders>
              <w:top w:val="nil"/>
              <w:left w:val="nil"/>
              <w:bottom w:val="nil"/>
              <w:right w:val="nil"/>
            </w:tcBorders>
            <w:tcMar>
              <w:top w:w="0" w:type="dxa"/>
              <w:left w:w="62" w:type="dxa"/>
              <w:bottom w:w="0" w:type="dxa"/>
              <w:right w:w="62" w:type="dxa"/>
            </w:tcMar>
          </w:tcPr>
          <w:p w:rsidR="00000000" w:rsidRPr="006D7FEE" w:rsidP="006D7FEE">
            <w:pPr>
              <w:pStyle w:val="ListBullet"/>
            </w:pPr>
            <w:r w:rsidRPr="006D7FEE">
              <w:t xml:space="preserve">group size </w:t>
            </w:r>
          </w:p>
          <w:p w:rsidR="00000000" w:rsidRPr="006D7FEE" w:rsidP="006D7FEE">
            <w:pPr>
              <w:pStyle w:val="ListBullet"/>
            </w:pPr>
            <w:r w:rsidRPr="006D7FEE">
              <w:t xml:space="preserve">set up </w:t>
            </w:r>
          </w:p>
          <w:p w:rsidR="00000000" w:rsidRPr="006D7FEE" w:rsidP="006D7FEE">
            <w:pPr>
              <w:pStyle w:val="ListBullet"/>
            </w:pPr>
            <w:r w:rsidRPr="006D7FEE">
              <w:t xml:space="preserve">type of abseil conducted </w:t>
            </w:r>
          </w:p>
          <w:p w:rsidR="00000000" w:rsidRPr="006D7FEE" w:rsidP="006D7FEE">
            <w:pPr>
              <w:pStyle w:val="ListBullet"/>
            </w:pPr>
            <w:r w:rsidRPr="006D7FEE">
              <w:t xml:space="preserve">abseiler ability </w:t>
            </w:r>
          </w:p>
          <w:p w:rsidR="00000000" w:rsidP="006D7FEE">
            <w:pPr>
              <w:pStyle w:val="ListBullet"/>
              <w:rPr>
                <w:lang w:val="en-NZ"/>
              </w:rPr>
            </w:pPr>
            <w:r w:rsidRPr="006D7FEE">
              <w:t>possible forces generated during a fall.</w:t>
            </w:r>
          </w:p>
        </w:tc>
      </w:tr>
      <w:tr w:rsidTr="00DB6330">
        <w:tblPrEx>
          <w:tblW w:w="0" w:type="auto"/>
          <w:tblLayout w:type="fixed"/>
          <w:tblCellMar>
            <w:left w:w="62" w:type="dxa"/>
            <w:right w:w="62" w:type="dxa"/>
          </w:tblCellMar>
          <w:tblLook w:val="0000"/>
        </w:tblPrEx>
        <w:tc>
          <w:tcPr>
            <w:tcW w:w="3515" w:type="dxa"/>
            <w:tcBorders>
              <w:top w:val="nil"/>
              <w:left w:val="nil"/>
              <w:bottom w:val="nil"/>
              <w:right w:val="nil"/>
            </w:tcBorders>
            <w:tcMar>
              <w:top w:w="0" w:type="dxa"/>
              <w:left w:w="62" w:type="dxa"/>
              <w:bottom w:w="0" w:type="dxa"/>
              <w:right w:w="62" w:type="dxa"/>
            </w:tcMar>
          </w:tcPr>
          <w:p w:rsidR="00000000" w:rsidP="006D7FEE">
            <w:pPr>
              <w:pStyle w:val="BodyText"/>
              <w:rPr>
                <w:lang w:val="en-NZ"/>
              </w:rPr>
            </w:pPr>
            <w:r w:rsidRPr="006D7FEE">
              <w:rPr>
                <w:rStyle w:val="BoldandItalics"/>
              </w:rPr>
              <w:t>Belay device</w:t>
            </w:r>
            <w:r w:rsidRPr="006D7FEE">
              <w:t xml:space="preserve"> may include:</w:t>
            </w:r>
          </w:p>
        </w:tc>
        <w:tc>
          <w:tcPr>
            <w:tcW w:w="5007" w:type="dxa"/>
            <w:tcBorders>
              <w:top w:val="nil"/>
              <w:left w:val="nil"/>
              <w:bottom w:val="nil"/>
              <w:right w:val="nil"/>
            </w:tcBorders>
            <w:tcMar>
              <w:top w:w="0" w:type="dxa"/>
              <w:left w:w="62" w:type="dxa"/>
              <w:bottom w:w="0" w:type="dxa"/>
              <w:right w:w="62" w:type="dxa"/>
            </w:tcMar>
          </w:tcPr>
          <w:p w:rsidR="00000000" w:rsidRPr="006D7FEE" w:rsidP="006D7FEE">
            <w:pPr>
              <w:pStyle w:val="ListBullet"/>
            </w:pPr>
            <w:r w:rsidRPr="006D7FEE">
              <w:t xml:space="preserve">plate devices </w:t>
            </w:r>
          </w:p>
          <w:p w:rsidR="00000000" w:rsidRPr="006D7FEE" w:rsidP="006D7FEE">
            <w:pPr>
              <w:pStyle w:val="ListBullet"/>
            </w:pPr>
            <w:r w:rsidRPr="006D7FEE">
              <w:t xml:space="preserve">auto-locking devices </w:t>
            </w:r>
          </w:p>
          <w:p w:rsidR="00000000" w:rsidRPr="006D7FEE" w:rsidP="006D7FEE">
            <w:pPr>
              <w:pStyle w:val="ListBullet"/>
            </w:pPr>
            <w:r w:rsidRPr="006D7FEE">
              <w:t>tubular devices</w:t>
            </w:r>
          </w:p>
          <w:p w:rsidR="00000000" w:rsidP="006D7FEE">
            <w:pPr>
              <w:pStyle w:val="ListBullet"/>
              <w:rPr>
                <w:lang w:val="en-NZ"/>
              </w:rPr>
            </w:pPr>
            <w:r w:rsidRPr="006D7FEE">
              <w:t>Prusik cord and suitable friction hitch.</w:t>
            </w:r>
          </w:p>
        </w:tc>
      </w:tr>
      <w:tr w:rsidTr="00DB6330">
        <w:tblPrEx>
          <w:tblW w:w="0" w:type="auto"/>
          <w:tblLayout w:type="fixed"/>
          <w:tblCellMar>
            <w:left w:w="62" w:type="dxa"/>
            <w:right w:w="62" w:type="dxa"/>
          </w:tblCellMar>
          <w:tblLook w:val="0000"/>
        </w:tblPrEx>
        <w:tc>
          <w:tcPr>
            <w:tcW w:w="3515" w:type="dxa"/>
            <w:tcBorders>
              <w:top w:val="nil"/>
              <w:left w:val="nil"/>
              <w:bottom w:val="nil"/>
              <w:right w:val="nil"/>
            </w:tcBorders>
            <w:tcMar>
              <w:top w:w="0" w:type="dxa"/>
              <w:left w:w="62" w:type="dxa"/>
              <w:bottom w:w="0" w:type="dxa"/>
              <w:right w:w="62" w:type="dxa"/>
            </w:tcMar>
          </w:tcPr>
          <w:p w:rsidR="00000000" w:rsidP="006D7FEE">
            <w:pPr>
              <w:pStyle w:val="BodyText"/>
              <w:rPr>
                <w:lang w:val="en-NZ"/>
              </w:rPr>
            </w:pPr>
            <w:r w:rsidRPr="006D7FEE">
              <w:rPr>
                <w:rStyle w:val="BoldandItalics"/>
              </w:rPr>
              <w:t>Protection</w:t>
            </w:r>
            <w:r w:rsidRPr="006D7FEE">
              <w:t xml:space="preserve"> may include:</w:t>
            </w:r>
          </w:p>
        </w:tc>
        <w:tc>
          <w:tcPr>
            <w:tcW w:w="5007" w:type="dxa"/>
            <w:tcBorders>
              <w:top w:val="nil"/>
              <w:left w:val="nil"/>
              <w:bottom w:val="nil"/>
              <w:right w:val="nil"/>
            </w:tcBorders>
            <w:tcMar>
              <w:top w:w="0" w:type="dxa"/>
              <w:left w:w="62" w:type="dxa"/>
              <w:bottom w:w="0" w:type="dxa"/>
              <w:right w:w="62" w:type="dxa"/>
            </w:tcMar>
          </w:tcPr>
          <w:p w:rsidR="00000000" w:rsidRPr="006D7FEE" w:rsidP="006D7FEE">
            <w:pPr>
              <w:pStyle w:val="ListBullet"/>
            </w:pPr>
            <w:r w:rsidRPr="006D7FEE">
              <w:t xml:space="preserve">artificial </w:t>
            </w:r>
          </w:p>
          <w:p w:rsidR="00000000" w:rsidRPr="006D7FEE" w:rsidP="006D7FEE">
            <w:pPr>
              <w:pStyle w:val="ListBullet"/>
            </w:pPr>
            <w:r w:rsidRPr="006D7FEE">
              <w:t xml:space="preserve">fixed </w:t>
            </w:r>
          </w:p>
          <w:p w:rsidR="00000000" w:rsidP="006D7FEE">
            <w:pPr>
              <w:pStyle w:val="ListBullet"/>
              <w:rPr>
                <w:lang w:val="en-NZ"/>
              </w:rPr>
            </w:pPr>
            <w:r w:rsidRPr="006D7FEE">
              <w:t>natural.</w:t>
            </w:r>
          </w:p>
        </w:tc>
      </w:tr>
      <w:tr w:rsidTr="00DB6330">
        <w:tblPrEx>
          <w:tblW w:w="0" w:type="auto"/>
          <w:tblLayout w:type="fixed"/>
          <w:tblCellMar>
            <w:left w:w="62" w:type="dxa"/>
            <w:right w:w="62" w:type="dxa"/>
          </w:tblCellMar>
          <w:tblLook w:val="0000"/>
        </w:tblPrEx>
        <w:tc>
          <w:tcPr>
            <w:tcW w:w="3515" w:type="dxa"/>
            <w:tcBorders>
              <w:top w:val="nil"/>
              <w:left w:val="nil"/>
              <w:bottom w:val="nil"/>
              <w:right w:val="nil"/>
            </w:tcBorders>
            <w:tcMar>
              <w:top w:w="0" w:type="dxa"/>
              <w:left w:w="62" w:type="dxa"/>
              <w:bottom w:w="0" w:type="dxa"/>
              <w:right w:w="62" w:type="dxa"/>
            </w:tcMar>
          </w:tcPr>
          <w:p w:rsidR="00000000" w:rsidP="006D7FEE">
            <w:pPr>
              <w:pStyle w:val="BodyText"/>
              <w:rPr>
                <w:lang w:val="en-NZ"/>
              </w:rPr>
            </w:pPr>
            <w:r w:rsidRPr="006D7FEE">
              <w:rPr>
                <w:rStyle w:val="BoldandItalics"/>
              </w:rPr>
              <w:t>Safety checks</w:t>
            </w:r>
            <w:r w:rsidRPr="006D7FEE">
              <w:t xml:space="preserve"> may include:</w:t>
            </w:r>
          </w:p>
        </w:tc>
        <w:tc>
          <w:tcPr>
            <w:tcW w:w="5007" w:type="dxa"/>
            <w:tcBorders>
              <w:top w:val="nil"/>
              <w:left w:val="nil"/>
              <w:bottom w:val="nil"/>
              <w:right w:val="nil"/>
            </w:tcBorders>
            <w:tcMar>
              <w:top w:w="0" w:type="dxa"/>
              <w:left w:w="62" w:type="dxa"/>
              <w:bottom w:w="0" w:type="dxa"/>
              <w:right w:w="62" w:type="dxa"/>
            </w:tcMar>
          </w:tcPr>
          <w:p w:rsidR="00000000" w:rsidRPr="006D7FEE" w:rsidP="006D7FEE">
            <w:pPr>
              <w:pStyle w:val="ListBullet"/>
            </w:pPr>
            <w:r w:rsidRPr="006D7FEE">
              <w:t>A - anchors - secure and suitable to application</w:t>
            </w:r>
          </w:p>
          <w:p w:rsidR="00000000" w:rsidRPr="006D7FEE" w:rsidP="006D7FEE">
            <w:pPr>
              <w:pStyle w:val="ListBullet"/>
            </w:pPr>
            <w:r w:rsidRPr="006D7FEE">
              <w:t>B - buckles - locked as per manufacturers recommendations</w:t>
            </w:r>
          </w:p>
          <w:p w:rsidR="00000000" w:rsidRPr="006D7FEE" w:rsidP="006D7FEE">
            <w:pPr>
              <w:pStyle w:val="ListBullet"/>
            </w:pPr>
            <w:r w:rsidRPr="006D7FEE">
              <w:t>C - connector - locked, secured and orientated</w:t>
            </w:r>
          </w:p>
          <w:p w:rsidR="00000000" w:rsidRPr="006D7FEE" w:rsidP="006D7FEE">
            <w:pPr>
              <w:pStyle w:val="ListBullet"/>
            </w:pPr>
            <w:r w:rsidRPr="006D7FEE">
              <w:t>D - devices - threaded correct</w:t>
            </w:r>
            <w:r w:rsidRPr="006D7FEE">
              <w:t>ly and secured</w:t>
            </w:r>
          </w:p>
          <w:p w:rsidR="00000000" w:rsidRPr="006D7FEE" w:rsidP="006D7FEE">
            <w:pPr>
              <w:pStyle w:val="ListBullet"/>
            </w:pPr>
            <w:r w:rsidRPr="006D7FEE">
              <w:t>E - everything else including end or rope knots, friction hitches, belayer ready, helmet chin strap, clothing, jewellery and hair secured.</w:t>
            </w:r>
          </w:p>
          <w:p w:rsidR="00000000" w:rsidP="006D7FEE">
            <w:pPr>
              <w:pStyle w:val="ListBullet"/>
              <w:rPr>
                <w:lang w:val="en-NZ"/>
              </w:rPr>
            </w:pPr>
            <w:r w:rsidRPr="006D7FEE">
              <w:t>F - friend - cross check.</w:t>
            </w:r>
          </w:p>
        </w:tc>
      </w:tr>
      <w:tr w:rsidTr="00DB6330">
        <w:tblPrEx>
          <w:tblW w:w="0" w:type="auto"/>
          <w:tblLayout w:type="fixed"/>
          <w:tblCellMar>
            <w:left w:w="62" w:type="dxa"/>
            <w:right w:w="62" w:type="dxa"/>
          </w:tblCellMar>
          <w:tblLook w:val="0000"/>
        </w:tblPrEx>
        <w:tc>
          <w:tcPr>
            <w:tcW w:w="3515" w:type="dxa"/>
            <w:tcBorders>
              <w:top w:val="nil"/>
              <w:left w:val="nil"/>
              <w:bottom w:val="nil"/>
              <w:right w:val="nil"/>
            </w:tcBorders>
            <w:tcMar>
              <w:top w:w="0" w:type="dxa"/>
              <w:left w:w="62" w:type="dxa"/>
              <w:bottom w:w="0" w:type="dxa"/>
              <w:right w:w="62" w:type="dxa"/>
            </w:tcMar>
          </w:tcPr>
          <w:p w:rsidR="00000000" w:rsidP="006D7FEE">
            <w:pPr>
              <w:pStyle w:val="BodyText"/>
              <w:rPr>
                <w:lang w:val="en-NZ"/>
              </w:rPr>
            </w:pPr>
            <w:r w:rsidRPr="006D7FEE">
              <w:rPr>
                <w:rStyle w:val="BoldandItalics"/>
              </w:rPr>
              <w:t>Knots</w:t>
            </w:r>
            <w:r w:rsidRPr="006D7FEE">
              <w:t xml:space="preserve"> may include:</w:t>
            </w:r>
          </w:p>
        </w:tc>
        <w:tc>
          <w:tcPr>
            <w:tcW w:w="5007" w:type="dxa"/>
            <w:tcBorders>
              <w:top w:val="nil"/>
              <w:left w:val="nil"/>
              <w:bottom w:val="nil"/>
              <w:right w:val="nil"/>
            </w:tcBorders>
            <w:tcMar>
              <w:top w:w="0" w:type="dxa"/>
              <w:left w:w="62" w:type="dxa"/>
              <w:bottom w:w="0" w:type="dxa"/>
              <w:right w:w="62" w:type="dxa"/>
            </w:tcMar>
          </w:tcPr>
          <w:p w:rsidR="00000000" w:rsidRPr="006D7FEE" w:rsidP="006D7FEE">
            <w:pPr>
              <w:pStyle w:val="ListBullet"/>
            </w:pPr>
            <w:r w:rsidRPr="006D7FEE">
              <w:t>end-of-rope knots</w:t>
            </w:r>
          </w:p>
          <w:p w:rsidR="00000000" w:rsidRPr="006D7FEE" w:rsidP="006D7FEE">
            <w:pPr>
              <w:pStyle w:val="ListBullet"/>
            </w:pPr>
            <w:r w:rsidRPr="006D7FEE">
              <w:t>mid-rope knots</w:t>
            </w:r>
          </w:p>
          <w:p w:rsidR="00000000" w:rsidRPr="006D7FEE" w:rsidP="006D7FEE">
            <w:pPr>
              <w:pStyle w:val="ListBullet"/>
            </w:pPr>
            <w:r w:rsidRPr="006D7FEE">
              <w:t xml:space="preserve">rope joining knots </w:t>
            </w:r>
          </w:p>
          <w:p w:rsidR="00000000" w:rsidP="006D7FEE">
            <w:pPr>
              <w:pStyle w:val="ListBullet"/>
              <w:rPr>
                <w:lang w:val="en-NZ"/>
              </w:rPr>
            </w:pPr>
            <w:r w:rsidRPr="006D7FEE">
              <w:t>tape knots.</w:t>
            </w:r>
          </w:p>
        </w:tc>
      </w:tr>
      <w:tr w:rsidTr="00DB6330">
        <w:tblPrEx>
          <w:tblW w:w="0" w:type="auto"/>
          <w:tblLayout w:type="fixed"/>
          <w:tblCellMar>
            <w:left w:w="62" w:type="dxa"/>
            <w:right w:w="62" w:type="dxa"/>
          </w:tblCellMar>
          <w:tblLook w:val="0000"/>
        </w:tblPrEx>
        <w:tc>
          <w:tcPr>
            <w:tcW w:w="3515" w:type="dxa"/>
            <w:tcBorders>
              <w:top w:val="nil"/>
              <w:left w:val="nil"/>
              <w:bottom w:val="nil"/>
              <w:right w:val="nil"/>
            </w:tcBorders>
            <w:tcMar>
              <w:top w:w="0" w:type="dxa"/>
              <w:left w:w="62" w:type="dxa"/>
              <w:bottom w:w="0" w:type="dxa"/>
              <w:right w:w="62" w:type="dxa"/>
            </w:tcMar>
          </w:tcPr>
          <w:p w:rsidR="00000000" w:rsidP="006D7FEE">
            <w:pPr>
              <w:pStyle w:val="BodyText"/>
              <w:rPr>
                <w:lang w:val="en-NZ"/>
              </w:rPr>
            </w:pPr>
            <w:r w:rsidRPr="006D7FEE">
              <w:rPr>
                <w:rStyle w:val="BoldandItalics"/>
              </w:rPr>
              <w:t>Hazards</w:t>
            </w:r>
            <w:r w:rsidRPr="006D7FEE">
              <w:t xml:space="preserve"> may include:</w:t>
            </w:r>
          </w:p>
        </w:tc>
        <w:tc>
          <w:tcPr>
            <w:tcW w:w="5007" w:type="dxa"/>
            <w:tcBorders>
              <w:top w:val="nil"/>
              <w:left w:val="nil"/>
              <w:bottom w:val="nil"/>
              <w:right w:val="nil"/>
            </w:tcBorders>
            <w:tcMar>
              <w:top w:w="0" w:type="dxa"/>
              <w:left w:w="62" w:type="dxa"/>
              <w:bottom w:w="0" w:type="dxa"/>
              <w:right w:w="62" w:type="dxa"/>
            </w:tcMar>
          </w:tcPr>
          <w:p w:rsidR="00000000" w:rsidRPr="006D7FEE" w:rsidP="006D7FEE">
            <w:pPr>
              <w:pStyle w:val="ListBullet"/>
            </w:pPr>
            <w:r w:rsidRPr="006D7FEE">
              <w:t>temperature extremes</w:t>
            </w:r>
          </w:p>
          <w:p w:rsidR="00000000" w:rsidRPr="006D7FEE" w:rsidP="006D7FEE">
            <w:pPr>
              <w:pStyle w:val="ListBullet"/>
            </w:pPr>
            <w:r w:rsidRPr="006D7FEE">
              <w:t>slippery or unstable terrain</w:t>
            </w:r>
          </w:p>
          <w:p w:rsidR="00000000" w:rsidRPr="006D7FEE" w:rsidP="006D7FEE">
            <w:pPr>
              <w:pStyle w:val="ListBullet"/>
            </w:pPr>
            <w:r w:rsidRPr="006D7FEE">
              <w:t>dangerous animals and insects</w:t>
            </w:r>
          </w:p>
          <w:p w:rsidR="00000000" w:rsidRPr="006D7FEE" w:rsidP="006D7FEE">
            <w:pPr>
              <w:pStyle w:val="ListBullet"/>
            </w:pPr>
            <w:r w:rsidRPr="006D7FEE">
              <w:t>stinging trees and nettles</w:t>
            </w:r>
          </w:p>
          <w:p w:rsidR="00000000" w:rsidRPr="006D7FEE" w:rsidP="006D7FEE">
            <w:pPr>
              <w:pStyle w:val="ListBullet"/>
            </w:pPr>
            <w:r w:rsidRPr="006D7FEE">
              <w:t>dense vegetation</w:t>
            </w:r>
          </w:p>
          <w:p w:rsidR="00000000" w:rsidP="006D7FEE">
            <w:pPr>
              <w:pStyle w:val="ListBullet"/>
              <w:rPr>
                <w:lang w:val="en-NZ"/>
              </w:rPr>
            </w:pPr>
            <w:r w:rsidRPr="006D7FEE">
              <w:t>group management hazards.</w:t>
            </w:r>
          </w:p>
        </w:tc>
      </w:tr>
      <w:tr w:rsidTr="00DB6330">
        <w:tblPrEx>
          <w:tblW w:w="0" w:type="auto"/>
          <w:tblLayout w:type="fixed"/>
          <w:tblCellMar>
            <w:left w:w="62" w:type="dxa"/>
            <w:right w:w="62" w:type="dxa"/>
          </w:tblCellMar>
          <w:tblLook w:val="0000"/>
        </w:tblPrEx>
        <w:tc>
          <w:tcPr>
            <w:tcW w:w="3515" w:type="dxa"/>
            <w:tcBorders>
              <w:top w:val="nil"/>
              <w:left w:val="nil"/>
              <w:bottom w:val="nil"/>
              <w:right w:val="nil"/>
            </w:tcBorders>
            <w:tcMar>
              <w:top w:w="0" w:type="dxa"/>
              <w:left w:w="62" w:type="dxa"/>
              <w:bottom w:w="0" w:type="dxa"/>
              <w:right w:w="62" w:type="dxa"/>
            </w:tcMar>
          </w:tcPr>
          <w:p w:rsidR="00000000" w:rsidP="006D7FEE">
            <w:pPr>
              <w:pStyle w:val="BodyText"/>
              <w:rPr>
                <w:lang w:val="en-NZ"/>
              </w:rPr>
            </w:pPr>
            <w:r w:rsidRPr="006D7FEE">
              <w:rPr>
                <w:rStyle w:val="BoldandItalics"/>
              </w:rPr>
              <w:t>Safety of belayer</w:t>
            </w:r>
            <w:r w:rsidRPr="006D7FEE">
              <w:t xml:space="preserve"> may include:</w:t>
            </w:r>
          </w:p>
        </w:tc>
        <w:tc>
          <w:tcPr>
            <w:tcW w:w="5007" w:type="dxa"/>
            <w:tcBorders>
              <w:top w:val="nil"/>
              <w:left w:val="nil"/>
              <w:bottom w:val="nil"/>
              <w:right w:val="nil"/>
            </w:tcBorders>
            <w:tcMar>
              <w:top w:w="0" w:type="dxa"/>
              <w:left w:w="62" w:type="dxa"/>
              <w:bottom w:w="0" w:type="dxa"/>
              <w:right w:w="62" w:type="dxa"/>
            </w:tcMar>
          </w:tcPr>
          <w:p w:rsidR="00000000" w:rsidRPr="006D7FEE" w:rsidP="006D7FEE">
            <w:pPr>
              <w:pStyle w:val="ListBullet"/>
            </w:pPr>
            <w:r w:rsidRPr="006D7FEE">
              <w:t xml:space="preserve">attachment to anchor or alternate safety system </w:t>
            </w:r>
          </w:p>
          <w:p w:rsidR="00000000" w:rsidRPr="006D7FEE" w:rsidP="006D7FEE">
            <w:pPr>
              <w:pStyle w:val="ListBullet"/>
            </w:pPr>
            <w:r w:rsidRPr="006D7FEE">
              <w:t>positioning out of direct line of rock or equipment fall.</w:t>
            </w:r>
          </w:p>
        </w:tc>
      </w:tr>
    </w:tbl>
    <w:p w:rsidR="00000000" w:rsidRPr="006D7FEE" w:rsidP="006D7FEE">
      <w:pPr>
        <w:pStyle w:val="BodyText"/>
      </w:pPr>
    </w:p>
    <w:p w:rsidR="00000000" w:rsidRPr="006D7FEE" w:rsidP="006D7FEE">
      <w:pPr>
        <w:pStyle w:val="AllowPageBreak"/>
      </w:pPr>
    </w:p>
    <w:p w:rsidR="00000000" w:rsidRPr="006D7FEE" w:rsidP="006D7FEE">
      <w:pPr>
        <w:pStyle w:val="Heading1"/>
      </w:pPr>
      <w:bookmarkStart w:id="12" w:name="O_364342"/>
      <w:bookmarkEnd w:id="12"/>
      <w:r w:rsidRPr="006D7FEE">
        <w:t>Unit Sector(s)</w:t>
      </w:r>
    </w:p>
    <w:p w:rsidR="00000000" w:rsidRPr="006D7FEE" w:rsidP="006D7FEE">
      <w:pPr>
        <w:pStyle w:val="BodyText"/>
      </w:pPr>
      <w:r w:rsidRPr="006D7FEE">
        <w:t>Outdoor Recreation</w:t>
      </w:r>
    </w:p>
    <w:p w:rsidR="00000000" w:rsidRPr="006D7FEE" w:rsidP="006D7FEE">
      <w:pPr>
        <w:pStyle w:val="AllowPageBreak"/>
      </w:pPr>
    </w:p>
    <w:p w:rsidR="00000000" w:rsidRPr="006D7FEE" w:rsidP="006D7FEE">
      <w:pPr>
        <w:pStyle w:val="Heading1"/>
      </w:pPr>
      <w:bookmarkStart w:id="13" w:name="O_389405"/>
      <w:bookmarkEnd w:id="13"/>
      <w:r w:rsidRPr="006D7FEE">
        <w:t>Competency Field</w:t>
      </w:r>
    </w:p>
    <w:p w:rsidR="00000000" w:rsidRPr="006D7FEE" w:rsidP="006D7FEE">
      <w:pPr>
        <w:pStyle w:val="BodyText"/>
      </w:pPr>
      <w:r w:rsidRPr="006D7FEE">
        <w:t>Canyoning</w:t>
      </w:r>
    </w:p>
    <w:p w:rsidR="00000000" w:rsidRPr="006D7FEE" w:rsidP="006D7FEE"/>
    <w:sectPr w:rsidSect="006D7FE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7FE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B6330" w:rsidP="00DB633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7FE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6330" w:rsidP="006D7FE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DB6330" w:rsidP="006D7FE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DB6330" w:rsidP="006D7FE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7FE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B6330" w:rsidP="00DB633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7FE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6330" w:rsidP="006D7FEE">
    <w:pPr>
      <w:pStyle w:val="Header"/>
      <w:framePr w:wrap="around"/>
    </w:pPr>
    <w:r>
      <w:fldChar w:fldCharType="begin"/>
    </w:r>
    <w:r>
      <w:instrText xml:space="preserve"> TITLE   \* MERGEFORMAT </w:instrText>
    </w:r>
    <w:r>
      <w:fldChar w:fldCharType="separate"/>
    </w:r>
    <w:r>
      <w:t>SISOCAY406A Establish complex belays in canyons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DB6330" w:rsidP="006D7FE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372717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BC808F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29855D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7FE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D7FEE"/>
    <w:pPr>
      <w:spacing w:before="360" w:after="60"/>
      <w:outlineLvl w:val="0"/>
    </w:pPr>
    <w:rPr>
      <w:sz w:val="32"/>
    </w:rPr>
  </w:style>
  <w:style w:type="paragraph" w:styleId="Heading2">
    <w:name w:val="heading 2"/>
    <w:basedOn w:val="HeadingBase"/>
    <w:next w:val="BodyText"/>
    <w:link w:val="Heading2Char"/>
    <w:qFormat/>
    <w:rsid w:val="006D7FEE"/>
    <w:pPr>
      <w:keepLines/>
      <w:spacing w:before="240" w:after="120"/>
      <w:outlineLvl w:val="1"/>
    </w:pPr>
    <w:rPr>
      <w:sz w:val="28"/>
      <w:szCs w:val="40"/>
    </w:rPr>
  </w:style>
  <w:style w:type="paragraph" w:styleId="Heading3">
    <w:name w:val="heading 3"/>
    <w:basedOn w:val="HeadingBase"/>
    <w:next w:val="BodyText"/>
    <w:link w:val="Heading3Char"/>
    <w:qFormat/>
    <w:rsid w:val="006D7FEE"/>
    <w:pPr>
      <w:spacing w:before="180" w:after="120"/>
      <w:outlineLvl w:val="2"/>
    </w:pPr>
    <w:rPr>
      <w:spacing w:val="-10"/>
      <w:kern w:val="32"/>
    </w:rPr>
  </w:style>
  <w:style w:type="paragraph" w:styleId="Heading4">
    <w:name w:val="heading 4"/>
    <w:basedOn w:val="HeadingBase"/>
    <w:next w:val="BodyText"/>
    <w:link w:val="Heading4Char"/>
    <w:qFormat/>
    <w:rsid w:val="006D7FEE"/>
    <w:pPr>
      <w:spacing w:before="160" w:after="120"/>
      <w:outlineLvl w:val="3"/>
    </w:pPr>
    <w:rPr>
      <w:sz w:val="22"/>
    </w:rPr>
  </w:style>
  <w:style w:type="paragraph" w:styleId="Heading5">
    <w:name w:val="heading 5"/>
    <w:basedOn w:val="HeadingBase"/>
    <w:next w:val="Normal"/>
    <w:link w:val="Heading5Char"/>
    <w:qFormat/>
    <w:rsid w:val="006D7FEE"/>
    <w:pPr>
      <w:spacing w:before="80"/>
      <w:outlineLvl w:val="4"/>
    </w:pPr>
    <w:rPr>
      <w:color w:val="918585"/>
      <w:sz w:val="20"/>
    </w:rPr>
  </w:style>
  <w:style w:type="paragraph" w:styleId="Heading6">
    <w:name w:val="heading 6"/>
    <w:basedOn w:val="HeadingBase"/>
    <w:next w:val="Normal"/>
    <w:link w:val="Heading6Char"/>
    <w:qFormat/>
    <w:rsid w:val="006D7FEE"/>
    <w:pPr>
      <w:spacing w:before="60"/>
      <w:outlineLvl w:val="5"/>
    </w:pPr>
    <w:rPr>
      <w:color w:val="918585"/>
      <w:sz w:val="20"/>
    </w:rPr>
  </w:style>
  <w:style w:type="paragraph" w:styleId="Heading7">
    <w:name w:val="heading 7"/>
    <w:basedOn w:val="Normal"/>
    <w:next w:val="Normal"/>
    <w:link w:val="Heading7Char"/>
    <w:qFormat/>
    <w:rsid w:val="006D7FEE"/>
    <w:pPr>
      <w:ind w:left="720"/>
      <w:outlineLvl w:val="6"/>
    </w:pPr>
    <w:rPr>
      <w:i/>
    </w:rPr>
  </w:style>
  <w:style w:type="paragraph" w:styleId="Heading8">
    <w:name w:val="heading 8"/>
    <w:basedOn w:val="Normal"/>
    <w:next w:val="Normal"/>
    <w:link w:val="Heading8Char"/>
    <w:qFormat/>
    <w:rsid w:val="006D7FEE"/>
    <w:pPr>
      <w:ind w:left="720"/>
      <w:outlineLvl w:val="7"/>
    </w:pPr>
    <w:rPr>
      <w:i/>
    </w:rPr>
  </w:style>
  <w:style w:type="paragraph" w:styleId="Heading9">
    <w:name w:val="heading 9"/>
    <w:basedOn w:val="Normal"/>
    <w:next w:val="Normal"/>
    <w:link w:val="Heading9Char"/>
    <w:qFormat/>
    <w:rsid w:val="006D7FEE"/>
    <w:pPr>
      <w:ind w:left="720"/>
      <w:outlineLvl w:val="8"/>
    </w:pPr>
    <w:rPr>
      <w:i/>
    </w:rPr>
  </w:style>
  <w:style w:type="character" w:default="1" w:styleId="DefaultParagraphFont">
    <w:name w:val="Default Paragraph Font"/>
    <w:uiPriority w:val="1"/>
    <w:unhideWhenUsed/>
    <w:rsid w:val="006D7FE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D7FEE"/>
  </w:style>
  <w:style w:type="character" w:customStyle="1" w:styleId="Heading1Char">
    <w:name w:val="Heading 1 Char"/>
    <w:basedOn w:val="DefaultParagraphFont"/>
    <w:link w:val="Heading1"/>
    <w:rsid w:val="006D7FEE"/>
    <w:rPr>
      <w:rFonts w:ascii="Times New Roman" w:eastAsia="Times New Roman" w:hAnsi="Times New Roman" w:cs="Times New Roman"/>
      <w:b/>
      <w:sz w:val="32"/>
      <w:szCs w:val="20"/>
      <w:lang w:eastAsia="en-US"/>
    </w:rPr>
  </w:style>
  <w:style w:type="paragraph" w:styleId="BodyText">
    <w:name w:val="Body Text"/>
    <w:basedOn w:val="Normal"/>
    <w:link w:val="BodyTextChar"/>
    <w:rsid w:val="006D7FE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D7FEE"/>
    <w:rPr>
      <w:rFonts w:ascii="Times New Roman" w:eastAsia="Times New Roman" w:hAnsi="Times New Roman" w:cs="Times New Roman"/>
      <w:sz w:val="24"/>
      <w:lang w:val="en-US" w:eastAsia="en-US"/>
    </w:rPr>
  </w:style>
  <w:style w:type="paragraph" w:styleId="Footer">
    <w:name w:val="footer"/>
    <w:basedOn w:val="Normal"/>
    <w:link w:val="FooterChar"/>
    <w:rsid w:val="006D7FE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D7FEE"/>
    <w:rPr>
      <w:rFonts w:ascii="Times New Roman" w:eastAsia="Times New Roman" w:hAnsi="Times New Roman" w:cs="Times New Roman"/>
      <w:sz w:val="16"/>
      <w:lang w:val="en-US" w:eastAsia="en-US"/>
    </w:rPr>
  </w:style>
  <w:style w:type="paragraph" w:styleId="List">
    <w:name w:val="List"/>
    <w:basedOn w:val="BodyText"/>
    <w:next w:val="BodyText"/>
    <w:rsid w:val="006D7FEE"/>
    <w:pPr>
      <w:tabs>
        <w:tab w:val="left" w:pos="340"/>
      </w:tabs>
      <w:spacing w:before="60" w:after="60"/>
      <w:ind w:left="340" w:hanging="340"/>
    </w:pPr>
  </w:style>
  <w:style w:type="paragraph" w:styleId="ListBullet">
    <w:name w:val="List Bullet"/>
    <w:basedOn w:val="List"/>
    <w:rsid w:val="006D7FEE"/>
    <w:pPr>
      <w:numPr>
        <w:numId w:val="13"/>
      </w:numPr>
      <w:tabs>
        <w:tab w:val="clear" w:pos="340"/>
      </w:tabs>
      <w:spacing w:before="40" w:after="40"/>
    </w:pPr>
  </w:style>
  <w:style w:type="character" w:customStyle="1" w:styleId="SpecialBold">
    <w:name w:val="Special Bold"/>
    <w:basedOn w:val="DefaultParagraphFont"/>
    <w:rsid w:val="006D7FEE"/>
    <w:rPr>
      <w:b/>
      <w:spacing w:val="0"/>
    </w:rPr>
  </w:style>
  <w:style w:type="paragraph" w:styleId="ListBullet2">
    <w:name w:val="List Bullet 2"/>
    <w:basedOn w:val="List2"/>
    <w:rsid w:val="006D7FEE"/>
    <w:pPr>
      <w:numPr>
        <w:numId w:val="14"/>
      </w:numPr>
      <w:tabs>
        <w:tab w:val="clear" w:pos="680"/>
      </w:tabs>
    </w:pPr>
  </w:style>
  <w:style w:type="paragraph" w:styleId="Header">
    <w:name w:val="header"/>
    <w:basedOn w:val="Normal"/>
    <w:link w:val="HeaderChar"/>
    <w:rsid w:val="006D7FE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D7FE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D7FEE"/>
    <w:pPr>
      <w:spacing w:before="240" w:after="120"/>
      <w:outlineLvl w:val="0"/>
    </w:pPr>
    <w:rPr>
      <w:rFonts w:ascii="Times New Roman" w:hAnsi="Times New Roman"/>
      <w:b/>
      <w:sz w:val="28"/>
    </w:rPr>
  </w:style>
  <w:style w:type="paragraph" w:customStyle="1" w:styleId="AllowPageBreak">
    <w:name w:val="AllowPageBreak"/>
    <w:rsid w:val="006D7FE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D7FEE"/>
    <w:pPr>
      <w:tabs>
        <w:tab w:val="left" w:pos="680"/>
      </w:tabs>
      <w:spacing w:before="60" w:after="60"/>
      <w:ind w:left="680" w:hanging="340"/>
    </w:pPr>
  </w:style>
  <w:style w:type="character" w:customStyle="1" w:styleId="BoldandItalics">
    <w:name w:val="Bold and Italics"/>
    <w:qFormat/>
    <w:rsid w:val="006D7FEE"/>
    <w:rPr>
      <w:b/>
      <w:i/>
      <w:u w:val="none"/>
    </w:rPr>
  </w:style>
  <w:style w:type="character" w:customStyle="1" w:styleId="Heading2Char">
    <w:name w:val="Heading 2 Char"/>
    <w:basedOn w:val="DefaultParagraphFont"/>
    <w:link w:val="Heading2"/>
    <w:rsid w:val="006D7FE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D7FE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D7FE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D7FE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D7FE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D7FE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D7FE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D7FEE"/>
    <w:rPr>
      <w:rFonts w:ascii="Courier New" w:eastAsia="Times New Roman" w:hAnsi="Courier New" w:cs="Times New Roman"/>
      <w:i/>
      <w:szCs w:val="20"/>
      <w:lang w:val="en-US" w:eastAsia="en-US"/>
    </w:rPr>
  </w:style>
  <w:style w:type="paragraph" w:customStyle="1" w:styleId="HeadingBase">
    <w:name w:val="Heading Base"/>
    <w:rsid w:val="006D7FE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D7FEE"/>
    <w:pPr>
      <w:tabs>
        <w:tab w:val="right" w:leader="dot" w:pos="9072"/>
      </w:tabs>
      <w:ind w:left="567"/>
    </w:pPr>
    <w:rPr>
      <w:szCs w:val="22"/>
    </w:rPr>
  </w:style>
  <w:style w:type="paragraph" w:customStyle="1" w:styleId="TOCBase">
    <w:name w:val="TOC Base"/>
    <w:rsid w:val="006D7FE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D7FEE"/>
    <w:pPr>
      <w:tabs>
        <w:tab w:val="right" w:leader="dot" w:pos="9072"/>
      </w:tabs>
      <w:spacing w:before="40" w:after="40"/>
      <w:ind w:left="284"/>
    </w:pPr>
    <w:rPr>
      <w:rFonts w:ascii="Times New Roman" w:hAnsi="Times New Roman"/>
    </w:rPr>
  </w:style>
  <w:style w:type="paragraph" w:styleId="TOC1">
    <w:name w:val="toc 1"/>
    <w:basedOn w:val="TOCBase"/>
    <w:next w:val="Normal"/>
    <w:rsid w:val="006D7FE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D7FEE"/>
    <w:pPr>
      <w:spacing w:before="5040"/>
      <w:jc w:val="center"/>
    </w:pPr>
    <w:rPr>
      <w:sz w:val="48"/>
      <w:szCs w:val="72"/>
      <w:lang w:val="en-US"/>
    </w:rPr>
  </w:style>
  <w:style w:type="character" w:customStyle="1" w:styleId="TitleChar">
    <w:name w:val="Title Char"/>
    <w:basedOn w:val="DefaultParagraphFont"/>
    <w:link w:val="Title"/>
    <w:rsid w:val="006D7FE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D7FEE"/>
    <w:pPr>
      <w:tabs>
        <w:tab w:val="left" w:pos="3600"/>
        <w:tab w:val="left" w:pos="3958"/>
      </w:tabs>
    </w:pPr>
  </w:style>
  <w:style w:type="paragraph" w:customStyle="1" w:styleId="Note">
    <w:name w:val="Note"/>
    <w:basedOn w:val="BodyText"/>
    <w:rsid w:val="006D7FE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D7FEE"/>
    <w:pPr>
      <w:framePr w:wrap="auto" w:hAnchor="text" w:y="6049"/>
    </w:pPr>
    <w:rPr>
      <w:color w:val="000000"/>
      <w:sz w:val="40"/>
    </w:rPr>
  </w:style>
  <w:style w:type="paragraph" w:customStyle="1" w:styleId="TOCTitle">
    <w:name w:val="TOCTitle"/>
    <w:basedOn w:val="Heading1"/>
    <w:rsid w:val="006D7FEE"/>
    <w:pPr>
      <w:spacing w:after="240"/>
      <w:jc w:val="center"/>
      <w:outlineLvl w:val="9"/>
    </w:pPr>
    <w:rPr>
      <w:caps/>
    </w:rPr>
  </w:style>
  <w:style w:type="paragraph" w:customStyle="1" w:styleId="Version">
    <w:name w:val="Version"/>
    <w:rsid w:val="006D7FE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D7FEE"/>
    <w:pPr>
      <w:keepNext w:val="0"/>
      <w:tabs>
        <w:tab w:val="right" w:pos="4176"/>
      </w:tabs>
      <w:ind w:left="198" w:hanging="198"/>
    </w:pPr>
    <w:rPr>
      <w:rFonts w:ascii="Garamond" w:hAnsi="Garamond"/>
    </w:rPr>
  </w:style>
  <w:style w:type="paragraph" w:styleId="IndexHeading">
    <w:name w:val="index heading"/>
    <w:basedOn w:val="Normal"/>
    <w:next w:val="Index1"/>
    <w:semiHidden/>
    <w:rsid w:val="006D7FEE"/>
    <w:pPr>
      <w:spacing w:before="120" w:after="120"/>
    </w:pPr>
    <w:rPr>
      <w:rFonts w:ascii="Arial" w:hAnsi="Arial"/>
      <w:b/>
      <w:color w:val="918585"/>
      <w:sz w:val="24"/>
    </w:rPr>
  </w:style>
  <w:style w:type="paragraph" w:customStyle="1" w:styleId="Chapter">
    <w:name w:val="Chapter"/>
    <w:basedOn w:val="Normal"/>
    <w:rsid w:val="006D7FEE"/>
    <w:pPr>
      <w:spacing w:before="240"/>
    </w:pPr>
    <w:rPr>
      <w:rFonts w:ascii="Times New Roman" w:hAnsi="Times New Roman"/>
      <w:smallCaps/>
      <w:spacing w:val="80"/>
      <w:sz w:val="28"/>
    </w:rPr>
  </w:style>
  <w:style w:type="paragraph" w:customStyle="1" w:styleId="InChapter">
    <w:name w:val="InChapter"/>
    <w:basedOn w:val="Heading3"/>
    <w:rsid w:val="006D7FEE"/>
    <w:pPr>
      <w:spacing w:after="240"/>
      <w:outlineLvl w:val="9"/>
    </w:pPr>
    <w:rPr>
      <w:noProof/>
    </w:rPr>
  </w:style>
  <w:style w:type="paragraph" w:styleId="Index2">
    <w:name w:val="index 2"/>
    <w:basedOn w:val="Normal"/>
    <w:next w:val="Normal"/>
    <w:semiHidden/>
    <w:rsid w:val="006D7FEE"/>
    <w:pPr>
      <w:tabs>
        <w:tab w:val="right" w:pos="4176"/>
      </w:tabs>
      <w:ind w:left="568" w:hanging="284"/>
    </w:pPr>
    <w:rPr>
      <w:rFonts w:ascii="Garamond" w:hAnsi="Garamond"/>
    </w:rPr>
  </w:style>
  <w:style w:type="paragraph" w:customStyle="1" w:styleId="Byline">
    <w:name w:val="Byline"/>
    <w:rsid w:val="006D7FE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D7FEE"/>
    <w:pPr>
      <w:tabs>
        <w:tab w:val="clear" w:pos="3600"/>
        <w:tab w:val="clear" w:pos="3958"/>
      </w:tabs>
      <w:jc w:val="right"/>
    </w:pPr>
  </w:style>
  <w:style w:type="character" w:styleId="Emphasis">
    <w:name w:val="Emphasis"/>
    <w:basedOn w:val="DefaultParagraphFont"/>
    <w:qFormat/>
    <w:rsid w:val="006D7FEE"/>
    <w:rPr>
      <w:i/>
    </w:rPr>
  </w:style>
  <w:style w:type="paragraph" w:styleId="Caption">
    <w:name w:val="caption"/>
    <w:basedOn w:val="BodyText"/>
    <w:next w:val="Normal"/>
    <w:qFormat/>
    <w:rsid w:val="006D7FEE"/>
    <w:pPr>
      <w:framePr w:w="2268" w:hSpace="181" w:vSpace="181" w:wrap="around" w:vAnchor="text" w:hAnchor="page" w:x="1135" w:y="285" w:anchorLock="1"/>
    </w:pPr>
    <w:rPr>
      <w:i/>
    </w:rPr>
  </w:style>
  <w:style w:type="paragraph" w:customStyle="1" w:styleId="MiniTOCTitle">
    <w:name w:val="MiniTOCTitle"/>
    <w:basedOn w:val="Heading4"/>
    <w:rsid w:val="006D7FEE"/>
    <w:pPr>
      <w:spacing w:before="240"/>
      <w:outlineLvl w:val="9"/>
    </w:pPr>
    <w:rPr>
      <w:noProof/>
      <w:sz w:val="24"/>
    </w:rPr>
  </w:style>
  <w:style w:type="paragraph" w:customStyle="1" w:styleId="MiniTOCItem">
    <w:name w:val="MiniTOCItem"/>
    <w:basedOn w:val="ListBullet"/>
    <w:rsid w:val="006D7FEE"/>
    <w:pPr>
      <w:numPr>
        <w:numId w:val="0"/>
      </w:numPr>
      <w:tabs>
        <w:tab w:val="right" w:leader="dot" w:pos="6521"/>
      </w:tabs>
      <w:spacing w:before="0" w:after="0"/>
    </w:pPr>
  </w:style>
  <w:style w:type="paragraph" w:customStyle="1" w:styleId="TOFTitle">
    <w:name w:val="TOFTitle"/>
    <w:basedOn w:val="TOCTitle"/>
    <w:rsid w:val="006D7FEE"/>
  </w:style>
  <w:style w:type="paragraph" w:styleId="TableofFigures">
    <w:name w:val="table of figures"/>
    <w:basedOn w:val="Normal"/>
    <w:next w:val="Normal"/>
    <w:semiHidden/>
    <w:rsid w:val="006D7FEE"/>
    <w:pPr>
      <w:tabs>
        <w:tab w:val="right" w:leader="dot" w:pos="9072"/>
      </w:tabs>
      <w:ind w:left="970" w:hanging="403"/>
    </w:pPr>
    <w:rPr>
      <w:rFonts w:ascii="Times New Roman" w:hAnsi="Times New Roman"/>
      <w:b/>
    </w:rPr>
  </w:style>
  <w:style w:type="paragraph" w:styleId="ListNumber">
    <w:name w:val="List Number"/>
    <w:basedOn w:val="List"/>
    <w:rsid w:val="006D7FEE"/>
    <w:pPr>
      <w:numPr>
        <w:numId w:val="11"/>
      </w:numPr>
    </w:pPr>
  </w:style>
  <w:style w:type="character" w:customStyle="1" w:styleId="WingdingSymbols">
    <w:name w:val="Wingding Symbols"/>
    <w:rsid w:val="006D7FEE"/>
    <w:rPr>
      <w:rFonts w:ascii="Wingdings" w:hAnsi="Wingdings"/>
    </w:rPr>
  </w:style>
  <w:style w:type="paragraph" w:customStyle="1" w:styleId="TableHeading">
    <w:name w:val="Table Heading"/>
    <w:basedOn w:val="HeadingBase"/>
    <w:rsid w:val="006D7FEE"/>
    <w:pPr>
      <w:keepLines/>
      <w:pBdr>
        <w:bottom w:val="single" w:sz="6" w:space="1" w:color="918585"/>
      </w:pBdr>
      <w:spacing w:before="240"/>
    </w:pPr>
  </w:style>
  <w:style w:type="character" w:customStyle="1" w:styleId="HotSpot">
    <w:name w:val="HotSpot"/>
    <w:rsid w:val="006D7FEE"/>
    <w:rPr>
      <w:color w:val="0033CC"/>
      <w:u w:val="none"/>
    </w:rPr>
  </w:style>
  <w:style w:type="paragraph" w:customStyle="1" w:styleId="BodyTextRight">
    <w:name w:val="Body Text Right"/>
    <w:basedOn w:val="BodyText"/>
    <w:rsid w:val="006D7FEE"/>
    <w:pPr>
      <w:spacing w:before="0" w:after="0"/>
      <w:jc w:val="right"/>
    </w:pPr>
  </w:style>
  <w:style w:type="paragraph" w:styleId="Index3">
    <w:name w:val="index 3"/>
    <w:basedOn w:val="ListNumber2"/>
    <w:next w:val="Normal"/>
    <w:semiHidden/>
    <w:rsid w:val="006D7FEE"/>
    <w:pPr>
      <w:numPr>
        <w:numId w:val="0"/>
      </w:numPr>
      <w:tabs>
        <w:tab w:val="right" w:leader="dot" w:pos="4176"/>
      </w:tabs>
    </w:pPr>
  </w:style>
  <w:style w:type="paragraph" w:styleId="ListNumber2">
    <w:name w:val="List Number 2"/>
    <w:basedOn w:val="List2"/>
    <w:rsid w:val="006D7FEE"/>
    <w:pPr>
      <w:numPr>
        <w:numId w:val="10"/>
      </w:numPr>
      <w:tabs>
        <w:tab w:val="clear" w:pos="1060"/>
      </w:tabs>
    </w:pPr>
  </w:style>
  <w:style w:type="paragraph" w:customStyle="1" w:styleId="MarginNote">
    <w:name w:val="Margin Note"/>
    <w:basedOn w:val="BodyText"/>
    <w:rsid w:val="006D7FE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D7FE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D7FE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D7FEE"/>
    <w:rPr>
      <w:sz w:val="32"/>
    </w:rPr>
  </w:style>
  <w:style w:type="paragraph" w:customStyle="1" w:styleId="HeadingProcedure">
    <w:name w:val="Heading Procedure"/>
    <w:basedOn w:val="HeadingBase"/>
    <w:next w:val="Normal"/>
    <w:rsid w:val="006D7FEE"/>
    <w:pPr>
      <w:tabs>
        <w:tab w:val="left" w:pos="0"/>
      </w:tabs>
      <w:spacing w:before="120" w:after="60"/>
    </w:pPr>
    <w:rPr>
      <w:i/>
      <w:color w:val="918585"/>
      <w:sz w:val="22"/>
    </w:rPr>
  </w:style>
  <w:style w:type="paragraph" w:customStyle="1" w:styleId="TableBodyText">
    <w:name w:val="Table Body Text"/>
    <w:basedOn w:val="BodyText"/>
    <w:rsid w:val="006D7FEE"/>
    <w:pPr>
      <w:spacing w:before="60" w:after="60"/>
    </w:pPr>
  </w:style>
  <w:style w:type="paragraph" w:styleId="ListContinue">
    <w:name w:val="List Continue"/>
    <w:basedOn w:val="List"/>
    <w:rsid w:val="006D7FEE"/>
    <w:pPr>
      <w:ind w:firstLine="0"/>
    </w:pPr>
  </w:style>
  <w:style w:type="paragraph" w:customStyle="1" w:styleId="ListNote">
    <w:name w:val="List Note"/>
    <w:basedOn w:val="List"/>
    <w:rsid w:val="006D7FEE"/>
    <w:pPr>
      <w:pBdr>
        <w:top w:val="single" w:sz="6" w:space="2" w:color="918585"/>
        <w:bottom w:val="single" w:sz="6" w:space="2" w:color="918585"/>
      </w:pBdr>
      <w:tabs>
        <w:tab w:val="left" w:pos="1021"/>
      </w:tabs>
      <w:ind w:firstLine="0"/>
    </w:pPr>
  </w:style>
  <w:style w:type="paragraph" w:customStyle="1" w:styleId="Warning">
    <w:name w:val="Warning"/>
    <w:basedOn w:val="BodyText"/>
    <w:rsid w:val="006D7FEE"/>
    <w:pPr>
      <w:shd w:val="clear" w:color="auto" w:fill="D9D9D9"/>
      <w:tabs>
        <w:tab w:val="left" w:pos="992"/>
      </w:tabs>
      <w:ind w:left="119" w:right="119"/>
    </w:pPr>
    <w:rPr>
      <w:sz w:val="20"/>
    </w:rPr>
  </w:style>
  <w:style w:type="paragraph" w:customStyle="1" w:styleId="MarginIcons">
    <w:name w:val="Margin Icons"/>
    <w:basedOn w:val="BodyText"/>
    <w:rsid w:val="006D7FE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D7FEE"/>
    <w:rPr>
      <w:rFonts w:ascii="Courier New" w:hAnsi="Courier New"/>
    </w:rPr>
  </w:style>
  <w:style w:type="paragraph" w:customStyle="1" w:styleId="NoteBullet">
    <w:name w:val="Note Bullet"/>
    <w:basedOn w:val="Note"/>
    <w:rsid w:val="006D7FEE"/>
    <w:pPr>
      <w:tabs>
        <w:tab w:val="clear" w:pos="680"/>
      </w:tabs>
      <w:spacing w:before="60" w:after="60"/>
    </w:pPr>
  </w:style>
  <w:style w:type="paragraph" w:customStyle="1" w:styleId="SubHeading2">
    <w:name w:val="SubHeading2"/>
    <w:basedOn w:val="HeadingBase"/>
    <w:rsid w:val="006D7FEE"/>
    <w:pPr>
      <w:spacing w:before="240" w:after="60"/>
    </w:pPr>
    <w:rPr>
      <w:sz w:val="20"/>
    </w:rPr>
  </w:style>
  <w:style w:type="paragraph" w:customStyle="1" w:styleId="SubHeading1">
    <w:name w:val="SubHeading1"/>
    <w:basedOn w:val="HeadingBase"/>
    <w:rsid w:val="006D7FEE"/>
    <w:pPr>
      <w:spacing w:before="240" w:after="60"/>
    </w:pPr>
    <w:rPr>
      <w:color w:val="918585"/>
      <w:sz w:val="22"/>
    </w:rPr>
  </w:style>
  <w:style w:type="paragraph" w:customStyle="1" w:styleId="SideHeading">
    <w:name w:val="Side Heading"/>
    <w:basedOn w:val="HeadingBase"/>
    <w:rsid w:val="006D7FE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D7FEE"/>
    <w:pPr>
      <w:numPr>
        <w:numId w:val="12"/>
      </w:numPr>
    </w:pPr>
  </w:style>
  <w:style w:type="paragraph" w:styleId="PlainText">
    <w:name w:val="Plain Text"/>
    <w:basedOn w:val="Normal"/>
    <w:link w:val="PlainTextChar"/>
    <w:rsid w:val="006D7FEE"/>
    <w:rPr>
      <w:sz w:val="20"/>
    </w:rPr>
  </w:style>
  <w:style w:type="character" w:customStyle="1" w:styleId="PlainTextChar">
    <w:name w:val="Plain Text Char"/>
    <w:basedOn w:val="DefaultParagraphFont"/>
    <w:link w:val="PlainText"/>
    <w:rsid w:val="006D7FE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D7FEE"/>
    <w:rPr>
      <w:b/>
      <w:smallCaps/>
    </w:rPr>
  </w:style>
  <w:style w:type="paragraph" w:customStyle="1" w:styleId="TableListNumber">
    <w:name w:val="Table List Number"/>
    <w:basedOn w:val="ListNumber"/>
    <w:rsid w:val="006D7FEE"/>
    <w:pPr>
      <w:numPr>
        <w:numId w:val="0"/>
      </w:numPr>
    </w:pPr>
  </w:style>
  <w:style w:type="paragraph" w:styleId="TOC4">
    <w:name w:val="toc 4"/>
    <w:basedOn w:val="TOCBase"/>
    <w:next w:val="Normal"/>
    <w:semiHidden/>
    <w:rsid w:val="006D7FEE"/>
    <w:pPr>
      <w:tabs>
        <w:tab w:val="right" w:leader="dot" w:pos="9071"/>
      </w:tabs>
      <w:ind w:left="1701"/>
    </w:pPr>
  </w:style>
  <w:style w:type="paragraph" w:customStyle="1" w:styleId="ListAlpha">
    <w:name w:val="List Alpha"/>
    <w:basedOn w:val="List"/>
    <w:rsid w:val="006D7FEE"/>
    <w:pPr>
      <w:numPr>
        <w:numId w:val="9"/>
      </w:numPr>
    </w:pPr>
  </w:style>
  <w:style w:type="paragraph" w:customStyle="1" w:styleId="ListAlpha2">
    <w:name w:val="List Alpha 2"/>
    <w:basedOn w:val="List2"/>
    <w:rsid w:val="006D7FEE"/>
    <w:pPr>
      <w:numPr>
        <w:numId w:val="8"/>
      </w:numPr>
    </w:pPr>
  </w:style>
  <w:style w:type="paragraph" w:styleId="List3">
    <w:name w:val="List 3"/>
    <w:basedOn w:val="BodyText"/>
    <w:rsid w:val="006D7FEE"/>
    <w:pPr>
      <w:tabs>
        <w:tab w:val="left" w:pos="1021"/>
      </w:tabs>
      <w:spacing w:before="60" w:after="60"/>
      <w:ind w:left="1020" w:hanging="340"/>
    </w:pPr>
  </w:style>
  <w:style w:type="paragraph" w:styleId="List4">
    <w:name w:val="List 4"/>
    <w:basedOn w:val="BodyText"/>
    <w:rsid w:val="006D7FEE"/>
    <w:pPr>
      <w:tabs>
        <w:tab w:val="left" w:pos="1361"/>
      </w:tabs>
      <w:spacing w:before="60" w:after="60"/>
      <w:ind w:left="1361" w:hanging="340"/>
    </w:pPr>
  </w:style>
  <w:style w:type="paragraph" w:styleId="List5">
    <w:name w:val="List 5"/>
    <w:basedOn w:val="BodyText"/>
    <w:rsid w:val="006D7FEE"/>
    <w:pPr>
      <w:tabs>
        <w:tab w:val="left" w:pos="1701"/>
      </w:tabs>
      <w:spacing w:before="60" w:after="60"/>
      <w:ind w:left="1701" w:hanging="340"/>
    </w:pPr>
  </w:style>
  <w:style w:type="paragraph" w:styleId="ListBullet3">
    <w:name w:val="List Bullet 3"/>
    <w:basedOn w:val="List3"/>
    <w:rsid w:val="006D7FEE"/>
    <w:pPr>
      <w:numPr>
        <w:numId w:val="15"/>
      </w:numPr>
      <w:tabs>
        <w:tab w:val="clear" w:pos="1021"/>
      </w:tabs>
      <w:ind w:left="1037" w:hanging="357"/>
    </w:pPr>
  </w:style>
  <w:style w:type="paragraph" w:styleId="ListBullet4">
    <w:name w:val="List Bullet 4"/>
    <w:basedOn w:val="List4"/>
    <w:rsid w:val="006D7FEE"/>
    <w:pPr>
      <w:numPr>
        <w:numId w:val="3"/>
      </w:numPr>
    </w:pPr>
  </w:style>
  <w:style w:type="paragraph" w:styleId="ListBullet5">
    <w:name w:val="List Bullet 5"/>
    <w:basedOn w:val="List5"/>
    <w:rsid w:val="006D7FEE"/>
    <w:pPr>
      <w:numPr>
        <w:numId w:val="4"/>
      </w:numPr>
    </w:pPr>
  </w:style>
  <w:style w:type="paragraph" w:styleId="ListContinue2">
    <w:name w:val="List Continue 2"/>
    <w:basedOn w:val="List2"/>
    <w:rsid w:val="006D7FEE"/>
    <w:pPr>
      <w:ind w:firstLine="0"/>
    </w:pPr>
  </w:style>
  <w:style w:type="paragraph" w:styleId="ListContinue3">
    <w:name w:val="List Continue 3"/>
    <w:basedOn w:val="List3"/>
    <w:rsid w:val="006D7FEE"/>
    <w:pPr>
      <w:ind w:left="1021" w:firstLine="0"/>
    </w:pPr>
  </w:style>
  <w:style w:type="paragraph" w:styleId="ListContinue4">
    <w:name w:val="List Continue 4"/>
    <w:basedOn w:val="List4"/>
    <w:rsid w:val="006D7FEE"/>
    <w:pPr>
      <w:ind w:firstLine="0"/>
    </w:pPr>
  </w:style>
  <w:style w:type="paragraph" w:styleId="ListContinue5">
    <w:name w:val="List Continue 5"/>
    <w:basedOn w:val="List5"/>
    <w:rsid w:val="006D7FEE"/>
    <w:pPr>
      <w:ind w:firstLine="0"/>
    </w:pPr>
  </w:style>
  <w:style w:type="paragraph" w:styleId="ListNumber3">
    <w:name w:val="List Number 3"/>
    <w:basedOn w:val="List3"/>
    <w:rsid w:val="006D7FEE"/>
    <w:pPr>
      <w:numPr>
        <w:numId w:val="5"/>
      </w:numPr>
    </w:pPr>
  </w:style>
  <w:style w:type="paragraph" w:styleId="ListNumber4">
    <w:name w:val="List Number 4"/>
    <w:basedOn w:val="List4"/>
    <w:rsid w:val="006D7FEE"/>
    <w:pPr>
      <w:numPr>
        <w:numId w:val="6"/>
      </w:numPr>
    </w:pPr>
  </w:style>
  <w:style w:type="paragraph" w:styleId="ListNumber5">
    <w:name w:val="List Number 5"/>
    <w:basedOn w:val="List5"/>
    <w:rsid w:val="006D7FEE"/>
    <w:pPr>
      <w:numPr>
        <w:numId w:val="7"/>
      </w:numPr>
    </w:pPr>
  </w:style>
  <w:style w:type="paragraph" w:styleId="BlockText">
    <w:name w:val="Block Text"/>
    <w:basedOn w:val="Normal"/>
    <w:rsid w:val="006D7FEE"/>
    <w:pPr>
      <w:spacing w:after="120"/>
      <w:ind w:left="1440" w:right="1440"/>
    </w:pPr>
  </w:style>
  <w:style w:type="character" w:customStyle="1" w:styleId="Subscript">
    <w:name w:val="Subscript"/>
    <w:basedOn w:val="DefaultParagraphFont"/>
    <w:rsid w:val="006D7FEE"/>
    <w:rPr>
      <w:sz w:val="16"/>
      <w:vertAlign w:val="subscript"/>
    </w:rPr>
  </w:style>
  <w:style w:type="character" w:customStyle="1" w:styleId="Superscript">
    <w:name w:val="Superscript"/>
    <w:basedOn w:val="DefaultParagraphFont"/>
    <w:rsid w:val="006D7FEE"/>
    <w:rPr>
      <w:sz w:val="16"/>
      <w:vertAlign w:val="superscript"/>
    </w:rPr>
  </w:style>
  <w:style w:type="character" w:customStyle="1" w:styleId="Symbols">
    <w:name w:val="Symbols"/>
    <w:basedOn w:val="DefaultParagraphFont"/>
    <w:rsid w:val="006D7FEE"/>
    <w:rPr>
      <w:rFonts w:ascii="Symbol" w:hAnsi="Symbol"/>
    </w:rPr>
  </w:style>
  <w:style w:type="character" w:customStyle="1" w:styleId="MenuOptions">
    <w:name w:val="Menu Options"/>
    <w:basedOn w:val="DefaultParagraphFont"/>
    <w:rsid w:val="006D7FEE"/>
    <w:rPr>
      <w:rFonts w:ascii="Arial Narrow" w:hAnsi="Arial Narrow"/>
      <w:smallCaps/>
    </w:rPr>
  </w:style>
  <w:style w:type="character" w:customStyle="1" w:styleId="Buttons">
    <w:name w:val="Buttons"/>
    <w:basedOn w:val="DefaultParagraphFont"/>
    <w:rsid w:val="006D7FEE"/>
    <w:rPr>
      <w:b/>
    </w:rPr>
  </w:style>
  <w:style w:type="character" w:customStyle="1" w:styleId="Underlined">
    <w:name w:val="Underlined"/>
    <w:basedOn w:val="DefaultParagraphFont"/>
    <w:rsid w:val="006D7FEE"/>
    <w:rPr>
      <w:u w:val="single"/>
    </w:rPr>
  </w:style>
  <w:style w:type="paragraph" w:customStyle="1" w:styleId="TableBodyTextRight">
    <w:name w:val="Table Body Text Right"/>
    <w:basedOn w:val="TableBodyText"/>
    <w:rsid w:val="006D7FEE"/>
    <w:pPr>
      <w:widowControl w:val="0"/>
      <w:autoSpaceDE w:val="0"/>
      <w:autoSpaceDN w:val="0"/>
      <w:adjustRightInd w:val="0"/>
      <w:jc w:val="right"/>
    </w:pPr>
    <w:rPr>
      <w:rFonts w:cs="Arial"/>
      <w:szCs w:val="18"/>
    </w:rPr>
  </w:style>
  <w:style w:type="paragraph" w:customStyle="1" w:styleId="CopyrightText">
    <w:name w:val="Copyright Text"/>
    <w:basedOn w:val="BodyText"/>
    <w:rsid w:val="006D7FEE"/>
    <w:rPr>
      <w:sz w:val="18"/>
    </w:rPr>
  </w:style>
  <w:style w:type="paragraph" w:customStyle="1" w:styleId="BodySmallRight">
    <w:name w:val="Body Small Right"/>
    <w:basedOn w:val="BodyTextRight"/>
    <w:rsid w:val="006D7FEE"/>
    <w:rPr>
      <w:sz w:val="18"/>
      <w:szCs w:val="18"/>
    </w:rPr>
  </w:style>
  <w:style w:type="paragraph" w:customStyle="1" w:styleId="MarginEdition">
    <w:name w:val="Margin Edition"/>
    <w:basedOn w:val="MarginNote"/>
    <w:rsid w:val="006D7FEE"/>
    <w:pPr>
      <w:spacing w:before="0" w:after="0"/>
    </w:pPr>
    <w:rPr>
      <w:rFonts w:ascii="Times New Roman" w:hAnsi="Times New Roman"/>
      <w:color w:val="999999"/>
    </w:rPr>
  </w:style>
  <w:style w:type="paragraph" w:customStyle="1" w:styleId="Spacer">
    <w:name w:val="Spacer"/>
    <w:basedOn w:val="Normal"/>
    <w:rsid w:val="006D7FEE"/>
    <w:rPr>
      <w:sz w:val="2"/>
      <w:szCs w:val="2"/>
    </w:rPr>
  </w:style>
  <w:style w:type="character" w:customStyle="1" w:styleId="Small">
    <w:name w:val="Small"/>
    <w:basedOn w:val="DefaultParagraphFont"/>
    <w:rsid w:val="006D7FEE"/>
    <w:rPr>
      <w:sz w:val="16"/>
    </w:rPr>
  </w:style>
  <w:style w:type="paragraph" w:customStyle="1" w:styleId="WideTable">
    <w:name w:val="Wide Table"/>
    <w:basedOn w:val="Normal"/>
    <w:rsid w:val="006D7FEE"/>
    <w:pPr>
      <w:ind w:left="-1418"/>
    </w:pPr>
    <w:rPr>
      <w:sz w:val="2"/>
      <w:szCs w:val="2"/>
    </w:rPr>
  </w:style>
  <w:style w:type="character" w:styleId="PageNumber">
    <w:name w:val="page number"/>
    <w:basedOn w:val="DefaultParagraphFont"/>
    <w:rsid w:val="006D7FEE"/>
  </w:style>
  <w:style w:type="paragraph" w:styleId="Quote">
    <w:name w:val="Quote"/>
    <w:basedOn w:val="Heading1"/>
    <w:link w:val="QuoteChar"/>
    <w:qFormat/>
    <w:rsid w:val="006D7FEE"/>
    <w:rPr>
      <w:b w:val="0"/>
      <w:sz w:val="72"/>
      <w:szCs w:val="72"/>
      <w:lang w:val="en-NZ"/>
    </w:rPr>
  </w:style>
  <w:style w:type="character" w:customStyle="1" w:styleId="QuoteChar">
    <w:name w:val="Quote Char"/>
    <w:basedOn w:val="DefaultParagraphFont"/>
    <w:link w:val="Quote"/>
    <w:rsid w:val="006D7FE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D7FEE"/>
    <w:pPr>
      <w:pageBreakBefore/>
    </w:pPr>
  </w:style>
  <w:style w:type="paragraph" w:customStyle="1" w:styleId="Border">
    <w:name w:val="Border"/>
    <w:basedOn w:val="Normal"/>
    <w:qFormat/>
    <w:rsid w:val="006D7FE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D7FEE"/>
    <w:rPr>
      <w:b/>
      <w:bCs/>
      <w:i/>
      <w:iCs/>
      <w:color w:val="auto"/>
    </w:rPr>
  </w:style>
  <w:style w:type="paragraph" w:styleId="IntenseQuote">
    <w:name w:val="Intense Quote"/>
    <w:basedOn w:val="Normal"/>
    <w:next w:val="Normal"/>
    <w:link w:val="IntenseQuoteChar"/>
    <w:uiPriority w:val="30"/>
    <w:qFormat/>
    <w:rsid w:val="006D7FE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D7FE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D7FEE"/>
    <w:rPr>
      <w:smallCaps/>
      <w:color w:val="auto"/>
      <w:u w:val="single"/>
    </w:rPr>
  </w:style>
  <w:style w:type="character" w:styleId="IntenseReference">
    <w:name w:val="Intense Reference"/>
    <w:basedOn w:val="DefaultParagraphFont"/>
    <w:uiPriority w:val="32"/>
    <w:qFormat/>
    <w:rsid w:val="006D7FEE"/>
    <w:rPr>
      <w:b/>
      <w:bCs/>
      <w:smallCaps/>
      <w:color w:val="auto"/>
      <w:spacing w:val="5"/>
      <w:u w:val="single"/>
    </w:rPr>
  </w:style>
  <w:style w:type="paragraph" w:customStyle="1" w:styleId="2ColumnHeading">
    <w:name w:val="2Column Heading"/>
    <w:basedOn w:val="BodyText"/>
    <w:qFormat/>
    <w:rsid w:val="006D7FEE"/>
    <w:pPr>
      <w:spacing w:after="60"/>
      <w:ind w:left="-2268"/>
    </w:pPr>
    <w:rPr>
      <w:b/>
    </w:rPr>
  </w:style>
  <w:style w:type="paragraph" w:customStyle="1" w:styleId="Heading1TOC">
    <w:name w:val="Heading1 TOC"/>
    <w:basedOn w:val="Normal"/>
    <w:qFormat/>
    <w:rsid w:val="006D7FEE"/>
    <w:pPr>
      <w:spacing w:before="240" w:after="120"/>
    </w:pPr>
    <w:rPr>
      <w:rFonts w:ascii="Times New Roman" w:hAnsi="Times New Roman"/>
      <w:b/>
      <w:sz w:val="32"/>
    </w:rPr>
  </w:style>
  <w:style w:type="paragraph" w:customStyle="1" w:styleId="Heading2TOC">
    <w:name w:val="Heading2 TOC"/>
    <w:basedOn w:val="Normal"/>
    <w:qFormat/>
    <w:rsid w:val="006D7FEE"/>
    <w:pPr>
      <w:spacing w:before="240" w:after="60"/>
    </w:pPr>
    <w:rPr>
      <w:rFonts w:ascii="Times New Roman" w:hAnsi="Times New Roman"/>
      <w:b/>
      <w:sz w:val="28"/>
    </w:rPr>
  </w:style>
  <w:style w:type="character" w:customStyle="1" w:styleId="Underline">
    <w:name w:val="Underline"/>
    <w:basedOn w:val="DefaultParagraphFont"/>
    <w:qFormat/>
    <w:rsid w:val="006D7FEE"/>
    <w:rPr>
      <w:u w:val="single"/>
    </w:rPr>
  </w:style>
  <w:style w:type="paragraph" w:styleId="BalloonText">
    <w:name w:val="Balloon Text"/>
    <w:basedOn w:val="Normal"/>
    <w:link w:val="BalloonTextChar"/>
    <w:rsid w:val="006D7FEE"/>
    <w:rPr>
      <w:rFonts w:ascii="Tahoma" w:hAnsi="Tahoma" w:cs="Tahoma"/>
      <w:sz w:val="16"/>
      <w:szCs w:val="16"/>
    </w:rPr>
  </w:style>
  <w:style w:type="character" w:customStyle="1" w:styleId="BalloonTextChar">
    <w:name w:val="Balloon Text Char"/>
    <w:basedOn w:val="DefaultParagraphFont"/>
    <w:link w:val="BalloonText"/>
    <w:rsid w:val="006D7FE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D7FE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D7FE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1380</Words>
  <Characters>8350</Characters>
  <Application>Microsoft Office Word</Application>
  <DocSecurity>0</DocSecurity>
  <Lines>285</Lines>
  <Paragraphs>176</Paragraphs>
  <ScaleCrop>false</ScaleCrop>
  <Company>Author-it Software Corporation Ltd.</Company>
  <LinksUpToDate>false</LinksUpToDate>
  <CharactersWithSpaces>9689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SISOCAY406A Establish complex belays in canyons</dc:title>
  <dc:subject>Approved</dc:subject>
  <dc:creator>Service Skills Australia</dc:creator>
  <cp:keywords>Release: 2</cp:keywords>
  <dc:description>Copyright © 1996-2007 Author-it Software Corporation Ltd., all rights reserved.</dc:description>
  <cp:lastModifiedBy>Windows User</cp:lastModifiedBy>
  <cp:revision>3</cp:revision>
  <dcterms:created xsi:type="dcterms:W3CDTF">2012-05-26T09:17:00Z</dcterms:created>
  <dcterms:modified xsi:type="dcterms:W3CDTF">2012-05-26T09:17:00Z</dcterms:modified>
</cp:coreProperties>
</file>