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8C1" w:rsidP="002128C1">
      <w:pPr>
        <w:pStyle w:val="Title"/>
      </w:pPr>
      <w:r>
        <w:fldChar w:fldCharType="begin"/>
      </w:r>
      <w:r>
        <w:instrText xml:space="preserve"> TITLE   \* MERGEFORMAT </w:instrText>
      </w:r>
      <w:r>
        <w:fldChar w:fldCharType="separate"/>
      </w:r>
      <w:r>
        <w:t>SISFFIT052 Provide healthy eating information</w:t>
      </w:r>
      <w:r>
        <w:fldChar w:fldCharType="end"/>
      </w:r>
    </w:p>
    <w:p w:rsidR="002128C1" w:rsidP="002128C1">
      <w:pPr>
        <w:pStyle w:val="Version"/>
        <w:sectPr w:rsidSect="000111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1B6" w:rsidP="000111B6">
      <w:pPr>
        <w:pStyle w:val="SuperHeading"/>
      </w:pPr>
      <w:r w:rsidRPr="000111B6">
        <w:t>SISFFIT052 Provide healthy eating information</w:t>
      </w:r>
    </w:p>
    <w:p w:rsidR="00000000" w:rsidRPr="000111B6" w:rsidP="000111B6">
      <w:pPr>
        <w:pStyle w:val="Heading1"/>
      </w:pPr>
      <w:bookmarkStart w:id="1" w:name="O_1198027"/>
      <w:bookmarkEnd w:id="1"/>
      <w:r w:rsidRPr="000111B6">
        <w:t>Modification History</w:t>
      </w:r>
    </w:p>
    <w:p w:rsidR="00000000" w:rsidRPr="000111B6" w:rsidP="002128C1">
      <w:pPr>
        <w:pStyle w:val="BodyText"/>
      </w:pPr>
      <w:r w:rsidRPr="000111B6">
        <w:t>Supersedes and is not equivalent to SISFFIT005 Provide healthy eating information.</w:t>
      </w:r>
    </w:p>
    <w:p w:rsidR="00000000" w:rsidRPr="000111B6" w:rsidP="000111B6">
      <w:pPr>
        <w:pStyle w:val="Heading1"/>
      </w:pPr>
      <w:bookmarkStart w:id="2" w:name="O_1198028"/>
      <w:bookmarkEnd w:id="2"/>
      <w:r w:rsidRPr="000111B6">
        <w:t>Application</w:t>
      </w:r>
    </w:p>
    <w:p w:rsidR="00000000" w:rsidRPr="000111B6" w:rsidP="002128C1">
      <w:pPr>
        <w:pStyle w:val="BodyText"/>
      </w:pPr>
      <w:r w:rsidRPr="000111B6">
        <w:t>This unit describes the performance outcomes, skills and knowledge required to provide general, and not individu</w:t>
      </w:r>
      <w:r w:rsidRPr="000111B6">
        <w:t>alised, information about healthy eating to fitness clients. Information is based on the main recommendations of the current Australian national dietary guidelines which aim to promote optimal health and wellbeing for generally healthy people.</w:t>
      </w:r>
    </w:p>
    <w:p w:rsidR="00000000" w:rsidRPr="000111B6" w:rsidP="002128C1">
      <w:pPr>
        <w:pStyle w:val="BodyText"/>
      </w:pPr>
      <w:r w:rsidRPr="000111B6">
        <w:t>The unit req</w:t>
      </w:r>
      <w:r w:rsidRPr="000111B6">
        <w:t>uires the ability to recognise situations that are beyond the scope of practice for fitness instructors, and to provide information about the types of medical and allied health professionals with expertise to advise on nutritional needs.</w:t>
      </w:r>
    </w:p>
    <w:p w:rsidR="00000000" w:rsidRPr="000111B6" w:rsidP="002128C1">
      <w:pPr>
        <w:pStyle w:val="BodyText"/>
      </w:pPr>
      <w:r w:rsidRPr="000111B6">
        <w:t xml:space="preserve">This unit applies </w:t>
      </w:r>
      <w:r w:rsidRPr="000111B6">
        <w:t>to group fitness and gym instructors who practise in settings such as fitness facilities, gyms, and leisure and community centres.</w:t>
      </w:r>
    </w:p>
    <w:p w:rsidR="00000000" w:rsidRPr="000111B6" w:rsidP="002128C1">
      <w:pPr>
        <w:pStyle w:val="BodyText"/>
      </w:pPr>
      <w:r w:rsidRPr="000111B6">
        <w:t>The skills in this unit must be applied in accordance with Commonwealth and State or Territory legislation, Australian standa</w:t>
      </w:r>
      <w:r w:rsidRPr="000111B6">
        <w:t>rds and industry codes of practice.</w:t>
      </w:r>
    </w:p>
    <w:p w:rsidR="00000000" w:rsidRPr="000111B6" w:rsidP="002128C1">
      <w:pPr>
        <w:pStyle w:val="BodyText"/>
      </w:pPr>
      <w:r w:rsidRPr="000111B6">
        <w:t>No occupational licensing, certification or specific legislative requirements apply to this unit at the time of publication</w:t>
      </w:r>
      <w:r w:rsidRPr="000111B6">
        <w:rPr>
          <w:rStyle w:val="Emphasis"/>
        </w:rPr>
        <w:t>.</w:t>
      </w:r>
    </w:p>
    <w:p w:rsidR="00000000" w:rsidRPr="000111B6" w:rsidP="000111B6">
      <w:pPr>
        <w:pStyle w:val="Heading1"/>
      </w:pPr>
      <w:bookmarkStart w:id="3" w:name="O_1198029"/>
      <w:bookmarkEnd w:id="3"/>
      <w:r w:rsidRPr="000111B6">
        <w:t>Pre-requisite Unit</w:t>
      </w:r>
    </w:p>
    <w:p w:rsidR="00000000" w:rsidRPr="000111B6" w:rsidP="002128C1">
      <w:pPr>
        <w:pStyle w:val="BodyText"/>
      </w:pPr>
      <w:r w:rsidRPr="000111B6">
        <w:t>Nil</w:t>
      </w:r>
    </w:p>
    <w:p w:rsidR="00000000" w:rsidRPr="000111B6" w:rsidP="000111B6">
      <w:pPr>
        <w:pStyle w:val="Heading1"/>
      </w:pPr>
      <w:bookmarkStart w:id="4" w:name="O_1198030"/>
      <w:bookmarkEnd w:id="4"/>
      <w:r w:rsidRPr="000111B6">
        <w:t>Competency Field</w:t>
      </w:r>
    </w:p>
    <w:p w:rsidR="00000000" w:rsidRPr="000111B6" w:rsidP="002128C1">
      <w:pPr>
        <w:pStyle w:val="BodyText"/>
      </w:pPr>
      <w:r w:rsidRPr="000111B6">
        <w:t>Fitness</w:t>
      </w:r>
    </w:p>
    <w:p w:rsidR="00000000" w:rsidRPr="000111B6" w:rsidP="000111B6">
      <w:pPr>
        <w:pStyle w:val="Heading1"/>
      </w:pPr>
      <w:bookmarkStart w:id="5" w:name="O_1198031"/>
      <w:bookmarkEnd w:id="5"/>
      <w:r w:rsidRPr="000111B6">
        <w:t>Unit Sector</w:t>
      </w:r>
    </w:p>
    <w:p w:rsidR="00000000" w:rsidRPr="000111B6" w:rsidP="002128C1">
      <w:pPr>
        <w:pStyle w:val="BodyText"/>
      </w:pPr>
      <w:r w:rsidRPr="000111B6">
        <w:t>Fitness</w:t>
      </w:r>
    </w:p>
    <w:p w:rsidR="00000000" w:rsidRPr="000111B6" w:rsidP="000111B6">
      <w:pPr>
        <w:pStyle w:val="Heading1"/>
      </w:pPr>
      <w:bookmarkStart w:id="6" w:name="O_1198032"/>
      <w:bookmarkEnd w:id="6"/>
      <w:r w:rsidRPr="000111B6">
        <w:t>Elements and Performance Criteria</w:t>
      </w:r>
    </w:p>
    <w:tbl>
      <w:tblPr>
        <w:tblW w:w="0" w:type="auto"/>
        <w:tblLayout w:type="fixed"/>
        <w:tblCellMar>
          <w:left w:w="62" w:type="dxa"/>
          <w:right w:w="62" w:type="dxa"/>
        </w:tblCellMar>
        <w:tblLook w:val="0000"/>
      </w:tblPr>
      <w:tblGrid>
        <w:gridCol w:w="2694"/>
        <w:gridCol w:w="6350"/>
      </w:tblGrid>
      <w:tr w:rsidTr="000111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111B6" w:rsidP="000111B6">
            <w:pPr>
              <w:pStyle w:val="BodyText"/>
            </w:pPr>
            <w:r w:rsidRPr="000111B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111B6">
            <w:pPr>
              <w:pStyle w:val="BodyText"/>
              <w:rPr>
                <w:lang w:val="en-NZ"/>
              </w:rPr>
            </w:pPr>
            <w:r w:rsidRPr="000111B6">
              <w:rPr>
                <w:rStyle w:val="SpecialBold"/>
              </w:rPr>
              <w:t>PERFORMANCE</w:t>
            </w:r>
            <w:r w:rsidRPr="000111B6">
              <w:t xml:space="preserve"> </w:t>
            </w:r>
            <w:r w:rsidRPr="000111B6">
              <w:rPr>
                <w:rStyle w:val="SpecialBold"/>
              </w:rPr>
              <w:t>CRITERIA</w:t>
            </w:r>
          </w:p>
        </w:tc>
      </w:tr>
      <w:tr w:rsidTr="000111B6">
        <w:tblPrEx>
          <w:tblW w:w="0" w:type="auto"/>
          <w:tblLayout w:type="fixed"/>
          <w:tblCellMar>
            <w:left w:w="62" w:type="dxa"/>
            <w:right w:w="62" w:type="dxa"/>
          </w:tblCellMar>
          <w:tblLook w:val="0000"/>
        </w:tblPrEx>
        <w:trPr>
          <w:trHeight w:val="875"/>
        </w:trPr>
        <w:tc>
          <w:tcPr>
            <w:tcW w:w="2694" w:type="dxa"/>
            <w:tcBorders>
              <w:top w:val="nil"/>
              <w:left w:val="nil"/>
              <w:bottom w:val="nil"/>
              <w:right w:val="nil"/>
            </w:tcBorders>
            <w:tcMar>
              <w:top w:w="0" w:type="dxa"/>
              <w:left w:w="62" w:type="dxa"/>
              <w:bottom w:w="0" w:type="dxa"/>
              <w:right w:w="62" w:type="dxa"/>
            </w:tcMar>
          </w:tcPr>
          <w:p w:rsidR="00000000" w:rsidRPr="000111B6" w:rsidP="000111B6">
            <w:pPr>
              <w:pStyle w:val="BodyText"/>
            </w:pPr>
            <w:r w:rsidRPr="000111B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111B6">
            <w:pPr>
              <w:pStyle w:val="BodyText"/>
              <w:rPr>
                <w:lang w:val="en-NZ"/>
              </w:rPr>
            </w:pPr>
            <w:r w:rsidRPr="000111B6">
              <w:rPr>
                <w:rStyle w:val="Emphasis"/>
              </w:rPr>
              <w:t>Performance criteria describe the performance needed to demonstrate achievement of the element.</w:t>
            </w:r>
          </w:p>
        </w:tc>
      </w:tr>
      <w:tr w:rsidTr="000111B6">
        <w:tblPrEx>
          <w:tblW w:w="0" w:type="auto"/>
          <w:tblLayout w:type="fixed"/>
          <w:tblCellMar>
            <w:left w:w="62" w:type="dxa"/>
            <w:right w:w="62" w:type="dxa"/>
          </w:tblCellMar>
          <w:tblLook w:val="0000"/>
        </w:tblPrEx>
        <w:trPr>
          <w:trHeight w:val="1556"/>
        </w:trPr>
        <w:tc>
          <w:tcPr>
            <w:tcW w:w="2694" w:type="dxa"/>
            <w:tcBorders>
              <w:top w:val="nil"/>
              <w:left w:val="nil"/>
              <w:bottom w:val="nil"/>
              <w:right w:val="nil"/>
            </w:tcBorders>
            <w:tcMar>
              <w:top w:w="0" w:type="dxa"/>
              <w:left w:w="62" w:type="dxa"/>
              <w:bottom w:w="0" w:type="dxa"/>
              <w:right w:w="62" w:type="dxa"/>
            </w:tcMar>
          </w:tcPr>
          <w:p w:rsidR="00000000" w:rsidP="000111B6">
            <w:pPr>
              <w:pStyle w:val="List"/>
              <w:rPr>
                <w:lang w:val="en-NZ"/>
              </w:rPr>
            </w:pPr>
            <w:r w:rsidRPr="000111B6">
              <w:t>1.  Identify authoritative and evidence-based information.</w:t>
            </w:r>
          </w:p>
        </w:tc>
        <w:tc>
          <w:tcPr>
            <w:tcW w:w="6350" w:type="dxa"/>
            <w:tcBorders>
              <w:top w:val="nil"/>
              <w:left w:val="nil"/>
              <w:bottom w:val="nil"/>
              <w:right w:val="nil"/>
            </w:tcBorders>
            <w:tcMar>
              <w:top w:w="0" w:type="dxa"/>
              <w:left w:w="62" w:type="dxa"/>
              <w:bottom w:w="0" w:type="dxa"/>
              <w:right w:w="62" w:type="dxa"/>
            </w:tcMar>
          </w:tcPr>
          <w:p w:rsidR="00000000" w:rsidRPr="000111B6" w:rsidP="000111B6">
            <w:pPr>
              <w:pStyle w:val="List"/>
            </w:pPr>
            <w:r w:rsidRPr="000111B6">
              <w:t>1.1. Source information about healthy eating from the national dietary guidelines that apply to healthy people.</w:t>
            </w:r>
          </w:p>
          <w:p w:rsidR="00000000" w:rsidP="000111B6">
            <w:pPr>
              <w:pStyle w:val="List"/>
              <w:rPr>
                <w:lang w:val="en-NZ"/>
              </w:rPr>
            </w:pPr>
            <w:r w:rsidRPr="000111B6">
              <w:t>1.2. Interpret key national dietary guideline recommendations and healthy eating mess</w:t>
            </w:r>
            <w:r w:rsidRPr="000111B6">
              <w:t>ages to inform healthy eating advice.</w:t>
            </w:r>
          </w:p>
        </w:tc>
      </w:tr>
      <w:tr w:rsidTr="000111B6">
        <w:tblPrEx>
          <w:tblW w:w="0" w:type="auto"/>
          <w:tblLayout w:type="fixed"/>
          <w:tblCellMar>
            <w:left w:w="62" w:type="dxa"/>
            <w:right w:w="62" w:type="dxa"/>
          </w:tblCellMar>
          <w:tblLook w:val="0000"/>
        </w:tblPrEx>
        <w:trPr>
          <w:trHeight w:val="4880"/>
        </w:trPr>
        <w:tc>
          <w:tcPr>
            <w:tcW w:w="2694" w:type="dxa"/>
            <w:tcBorders>
              <w:top w:val="nil"/>
              <w:left w:val="nil"/>
              <w:bottom w:val="nil"/>
              <w:right w:val="nil"/>
            </w:tcBorders>
            <w:tcMar>
              <w:top w:w="0" w:type="dxa"/>
              <w:left w:w="62" w:type="dxa"/>
              <w:bottom w:w="0" w:type="dxa"/>
              <w:right w:w="62" w:type="dxa"/>
            </w:tcMar>
          </w:tcPr>
          <w:p w:rsidR="00000000" w:rsidP="000111B6">
            <w:pPr>
              <w:pStyle w:val="List"/>
              <w:rPr>
                <w:lang w:val="en-NZ"/>
              </w:rPr>
            </w:pPr>
            <w:r w:rsidRPr="000111B6">
              <w:t>2.  Communicate general healthy eating information to clients.</w:t>
            </w:r>
          </w:p>
        </w:tc>
        <w:tc>
          <w:tcPr>
            <w:tcW w:w="6350" w:type="dxa"/>
            <w:tcBorders>
              <w:top w:val="nil"/>
              <w:left w:val="nil"/>
              <w:bottom w:val="nil"/>
              <w:right w:val="nil"/>
            </w:tcBorders>
            <w:tcMar>
              <w:top w:w="0" w:type="dxa"/>
              <w:left w:w="62" w:type="dxa"/>
              <w:bottom w:w="0" w:type="dxa"/>
              <w:right w:w="62" w:type="dxa"/>
            </w:tcMar>
          </w:tcPr>
          <w:p w:rsidR="00000000" w:rsidRPr="000111B6" w:rsidP="000111B6">
            <w:pPr>
              <w:pStyle w:val="List"/>
            </w:pPr>
            <w:r w:rsidRPr="000111B6">
              <w:t>2.1. Advise clients about own role and limitations in providing healthy eating advice.</w:t>
            </w:r>
          </w:p>
          <w:p w:rsidR="00000000" w:rsidRPr="000111B6" w:rsidP="000111B6">
            <w:pPr>
              <w:pStyle w:val="List"/>
            </w:pPr>
            <w:r w:rsidRPr="000111B6">
              <w:t>2.2. Provide information consistent with national dietary guideline</w:t>
            </w:r>
            <w:r w:rsidRPr="000111B6">
              <w:t>s to help clients make informed healthy eating choices.</w:t>
            </w:r>
          </w:p>
          <w:p w:rsidR="00000000" w:rsidRPr="000111B6" w:rsidP="000111B6">
            <w:pPr>
              <w:pStyle w:val="List"/>
            </w:pPr>
            <w:r w:rsidRPr="000111B6">
              <w:t>2.3. Advise on recommended daily serves of the five food groups outlined in national dietary guidelines.</w:t>
            </w:r>
          </w:p>
          <w:p w:rsidR="00000000" w:rsidRPr="000111B6" w:rsidP="000111B6">
            <w:pPr>
              <w:pStyle w:val="List"/>
            </w:pPr>
            <w:r w:rsidRPr="000111B6">
              <w:t>2.4. Provide clear information about discretionary foods and inform clients about limiting daily intake.</w:t>
            </w:r>
          </w:p>
          <w:p w:rsidR="00000000" w:rsidRPr="000111B6" w:rsidP="000111B6">
            <w:pPr>
              <w:pStyle w:val="List"/>
            </w:pPr>
            <w:r w:rsidRPr="000111B6">
              <w:t>2.5. Explain the benefits of healthy food and beverage choices, and impact of poor choices on health and wellbeing.</w:t>
            </w:r>
          </w:p>
          <w:p w:rsidR="00000000" w:rsidRPr="000111B6" w:rsidP="000111B6">
            <w:pPr>
              <w:pStyle w:val="List"/>
            </w:pPr>
            <w:r w:rsidRPr="000111B6">
              <w:t>2.6. Show sensitivity to cultural a</w:t>
            </w:r>
            <w:r w:rsidRPr="000111B6">
              <w:t>nd social differences that may influence food choices.</w:t>
            </w:r>
          </w:p>
          <w:p w:rsidR="00000000" w:rsidP="000111B6">
            <w:pPr>
              <w:pStyle w:val="List"/>
              <w:rPr>
                <w:lang w:val="en-NZ"/>
              </w:rPr>
            </w:pPr>
            <w:r w:rsidRPr="000111B6">
              <w:t>2.7. Provide accurate information about the role of healthy eating as part of a fitness program.</w:t>
            </w:r>
          </w:p>
        </w:tc>
      </w:tr>
      <w:tr w:rsidTr="000111B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111B6">
            <w:pPr>
              <w:pStyle w:val="List"/>
              <w:rPr>
                <w:lang w:val="en-NZ"/>
              </w:rPr>
            </w:pPr>
            <w:r w:rsidRPr="000111B6">
              <w:t>3.  Identify clients who require nutrition advice outside of own scope.</w:t>
            </w:r>
          </w:p>
        </w:tc>
        <w:tc>
          <w:tcPr>
            <w:tcW w:w="6350" w:type="dxa"/>
            <w:tcBorders>
              <w:top w:val="nil"/>
              <w:left w:val="nil"/>
              <w:bottom w:val="nil"/>
              <w:right w:val="nil"/>
            </w:tcBorders>
            <w:tcMar>
              <w:top w:w="0" w:type="dxa"/>
              <w:left w:w="62" w:type="dxa"/>
              <w:bottom w:w="0" w:type="dxa"/>
              <w:right w:w="62" w:type="dxa"/>
            </w:tcMar>
          </w:tcPr>
          <w:p w:rsidR="00000000" w:rsidRPr="000111B6" w:rsidP="000111B6">
            <w:pPr>
              <w:pStyle w:val="List"/>
            </w:pPr>
            <w:r w:rsidRPr="000111B6">
              <w:t>3.1. Identify characteristics o</w:t>
            </w:r>
            <w:r w:rsidRPr="000111B6">
              <w:t>f clients who require nutrition advice beyond scope of practice and recognise risks of providing information to those clients.</w:t>
            </w:r>
          </w:p>
          <w:p w:rsidR="00000000" w:rsidRPr="000111B6" w:rsidP="000111B6">
            <w:pPr>
              <w:pStyle w:val="List"/>
            </w:pPr>
            <w:r w:rsidRPr="000111B6">
              <w:t>3.2. Provide information about types of health professionals with required expertise to clients who require nutritional advice ou</w:t>
            </w:r>
            <w:r w:rsidRPr="000111B6">
              <w:t>tside scope of practice.</w:t>
            </w:r>
          </w:p>
        </w:tc>
      </w:tr>
    </w:tbl>
    <w:p w:rsidR="00000000" w:rsidRPr="000111B6" w:rsidP="000111B6">
      <w:pPr>
        <w:pStyle w:val="BodyText"/>
      </w:pPr>
    </w:p>
    <w:p w:rsidR="00000000" w:rsidRPr="000111B6" w:rsidP="000111B6">
      <w:pPr>
        <w:pStyle w:val="AllowPageBreak"/>
      </w:pPr>
    </w:p>
    <w:p w:rsidR="00000000" w:rsidRPr="000111B6" w:rsidP="000111B6">
      <w:pPr>
        <w:pStyle w:val="Heading1"/>
      </w:pPr>
      <w:bookmarkStart w:id="7" w:name="O_1198033"/>
      <w:bookmarkEnd w:id="7"/>
      <w:r w:rsidRPr="000111B6">
        <w:t>Foundation Skills</w:t>
      </w:r>
    </w:p>
    <w:tbl>
      <w:tblPr>
        <w:tblW w:w="0" w:type="auto"/>
        <w:tblLayout w:type="fixed"/>
        <w:tblCellMar>
          <w:left w:w="62" w:type="dxa"/>
          <w:right w:w="62" w:type="dxa"/>
        </w:tblCellMar>
        <w:tblLook w:val="0000"/>
      </w:tblPr>
      <w:tblGrid>
        <w:gridCol w:w="2694"/>
        <w:gridCol w:w="6350"/>
      </w:tblGrid>
      <w:tr w:rsidTr="000111B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111B6">
            <w:pPr>
              <w:pStyle w:val="BodyText"/>
              <w:rPr>
                <w:lang w:val="en-NZ"/>
              </w:rPr>
            </w:pPr>
            <w:r w:rsidRPr="000111B6">
              <w:rPr>
                <w:rStyle w:val="Emphasis"/>
              </w:rPr>
              <w:t xml:space="preserve">Foundation skills essential to performance in this unit, but not explicit in the performance </w:t>
            </w:r>
            <w:r w:rsidRPr="000111B6">
              <w:t xml:space="preserve">criteria are listed </w:t>
            </w:r>
            <w:r w:rsidRPr="000111B6">
              <w:rPr>
                <w:rStyle w:val="Emphasis"/>
              </w:rPr>
              <w:t>here, along with a brief context statement.</w:t>
            </w:r>
          </w:p>
        </w:tc>
      </w:tr>
      <w:tr w:rsidTr="000111B6">
        <w:tblPrEx>
          <w:tblW w:w="0" w:type="auto"/>
          <w:tblLayout w:type="fixed"/>
          <w:tblCellMar>
            <w:left w:w="62" w:type="dxa"/>
            <w:right w:w="62" w:type="dxa"/>
          </w:tblCellMar>
          <w:tblLook w:val="0000"/>
        </w:tblPrEx>
        <w:trPr>
          <w:trHeight w:val="605"/>
        </w:trPr>
        <w:tc>
          <w:tcPr>
            <w:tcW w:w="2694" w:type="dxa"/>
            <w:tcBorders>
              <w:top w:val="nil"/>
              <w:left w:val="nil"/>
              <w:bottom w:val="nil"/>
              <w:right w:val="nil"/>
            </w:tcBorders>
            <w:tcMar>
              <w:top w:w="0" w:type="dxa"/>
              <w:left w:w="62" w:type="dxa"/>
              <w:bottom w:w="0" w:type="dxa"/>
              <w:right w:w="62" w:type="dxa"/>
            </w:tcMar>
          </w:tcPr>
          <w:p w:rsidR="00000000" w:rsidRPr="000111B6" w:rsidP="000111B6">
            <w:pPr>
              <w:pStyle w:val="BodyText"/>
            </w:pPr>
            <w:r w:rsidRPr="000111B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111B6">
            <w:pPr>
              <w:pStyle w:val="BodyText"/>
              <w:rPr>
                <w:lang w:val="en-NZ"/>
              </w:rPr>
            </w:pPr>
            <w:r w:rsidRPr="000111B6">
              <w:rPr>
                <w:rStyle w:val="SpecialBold"/>
              </w:rPr>
              <w:t>DESCRIPTION</w:t>
            </w:r>
          </w:p>
        </w:tc>
      </w:tr>
      <w:tr w:rsidTr="000111B6">
        <w:tblPrEx>
          <w:tblW w:w="0" w:type="auto"/>
          <w:tblLayout w:type="fixed"/>
          <w:tblCellMar>
            <w:left w:w="62" w:type="dxa"/>
            <w:right w:w="62" w:type="dxa"/>
          </w:tblCellMar>
          <w:tblLook w:val="0000"/>
        </w:tblPrEx>
        <w:trPr>
          <w:trHeight w:val="729"/>
        </w:trPr>
        <w:tc>
          <w:tcPr>
            <w:tcW w:w="2694" w:type="dxa"/>
            <w:tcBorders>
              <w:top w:val="nil"/>
              <w:left w:val="nil"/>
              <w:bottom w:val="nil"/>
              <w:right w:val="nil"/>
            </w:tcBorders>
            <w:tcMar>
              <w:top w:w="0" w:type="dxa"/>
              <w:left w:w="62" w:type="dxa"/>
              <w:bottom w:w="0" w:type="dxa"/>
              <w:right w:w="62" w:type="dxa"/>
            </w:tcMar>
          </w:tcPr>
          <w:p w:rsidR="00000000" w:rsidP="000111B6">
            <w:pPr>
              <w:pStyle w:val="BodyText"/>
              <w:rPr>
                <w:lang w:val="en-NZ"/>
              </w:rPr>
            </w:pPr>
            <w:r w:rsidRPr="000111B6">
              <w:t>Reading skills to:</w:t>
            </w:r>
          </w:p>
        </w:tc>
        <w:tc>
          <w:tcPr>
            <w:tcW w:w="6350" w:type="dxa"/>
            <w:tcBorders>
              <w:top w:val="nil"/>
              <w:left w:val="nil"/>
              <w:bottom w:val="nil"/>
              <w:right w:val="nil"/>
            </w:tcBorders>
            <w:tcMar>
              <w:top w:w="0" w:type="dxa"/>
              <w:left w:w="62" w:type="dxa"/>
              <w:bottom w:w="0" w:type="dxa"/>
              <w:right w:w="62" w:type="dxa"/>
            </w:tcMar>
          </w:tcPr>
          <w:p w:rsidR="00000000" w:rsidP="000111B6">
            <w:pPr>
              <w:pStyle w:val="ListBullet"/>
              <w:rPr>
                <w:lang w:val="en-NZ"/>
              </w:rPr>
            </w:pPr>
            <w:r w:rsidRPr="000111B6">
              <w:t>interpret key overarching recommendations of national dietary guideline documentation.</w:t>
            </w:r>
          </w:p>
        </w:tc>
      </w:tr>
      <w:tr w:rsidTr="000111B6">
        <w:tblPrEx>
          <w:tblW w:w="0" w:type="auto"/>
          <w:tblLayout w:type="fixed"/>
          <w:tblCellMar>
            <w:left w:w="62" w:type="dxa"/>
            <w:right w:w="62" w:type="dxa"/>
          </w:tblCellMar>
          <w:tblLook w:val="0000"/>
        </w:tblPrEx>
        <w:trPr>
          <w:trHeight w:val="1503"/>
        </w:trPr>
        <w:tc>
          <w:tcPr>
            <w:tcW w:w="2694" w:type="dxa"/>
            <w:tcBorders>
              <w:top w:val="nil"/>
              <w:left w:val="nil"/>
              <w:bottom w:val="nil"/>
              <w:right w:val="nil"/>
            </w:tcBorders>
            <w:tcMar>
              <w:top w:w="0" w:type="dxa"/>
              <w:left w:w="62" w:type="dxa"/>
              <w:bottom w:w="0" w:type="dxa"/>
              <w:right w:w="62" w:type="dxa"/>
            </w:tcMar>
          </w:tcPr>
          <w:p w:rsidR="00000000" w:rsidP="000111B6">
            <w:pPr>
              <w:pStyle w:val="BodyText"/>
              <w:rPr>
                <w:lang w:val="en-NZ"/>
              </w:rPr>
            </w:pPr>
            <w:r w:rsidRPr="000111B6">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0111B6" w:rsidP="000111B6">
            <w:pPr>
              <w:pStyle w:val="ListBullet"/>
            </w:pPr>
            <w:r w:rsidRPr="000111B6">
              <w:t>provide information to clients using plain language and terms easily understood</w:t>
            </w:r>
          </w:p>
          <w:p w:rsidR="00000000" w:rsidP="000111B6">
            <w:pPr>
              <w:pStyle w:val="ListBullet"/>
              <w:rPr>
                <w:lang w:val="en-NZ"/>
              </w:rPr>
            </w:pPr>
            <w:r w:rsidRPr="000111B6">
              <w:t>ask open and closed probe questions to clarify information needs and actively listen to determine client understanding of information.</w:t>
            </w:r>
          </w:p>
        </w:tc>
      </w:tr>
      <w:tr w:rsidTr="000111B6">
        <w:tblPrEx>
          <w:tblW w:w="0" w:type="auto"/>
          <w:tblLayout w:type="fixed"/>
          <w:tblCellMar>
            <w:left w:w="62" w:type="dxa"/>
            <w:right w:w="62" w:type="dxa"/>
          </w:tblCellMar>
          <w:tblLook w:val="0000"/>
        </w:tblPrEx>
        <w:trPr>
          <w:trHeight w:val="1041"/>
        </w:trPr>
        <w:tc>
          <w:tcPr>
            <w:tcW w:w="2694" w:type="dxa"/>
            <w:tcBorders>
              <w:top w:val="nil"/>
              <w:left w:val="nil"/>
              <w:bottom w:val="nil"/>
              <w:right w:val="nil"/>
            </w:tcBorders>
            <w:tcMar>
              <w:top w:w="0" w:type="dxa"/>
              <w:left w:w="62" w:type="dxa"/>
              <w:bottom w:w="0" w:type="dxa"/>
              <w:right w:w="62" w:type="dxa"/>
            </w:tcMar>
          </w:tcPr>
          <w:p w:rsidR="00000000" w:rsidP="000111B6">
            <w:pPr>
              <w:pStyle w:val="BodyText"/>
              <w:rPr>
                <w:lang w:val="en-NZ"/>
              </w:rPr>
            </w:pPr>
            <w:r w:rsidRPr="000111B6">
              <w:t>Numeracy skills to:</w:t>
            </w:r>
          </w:p>
        </w:tc>
        <w:tc>
          <w:tcPr>
            <w:tcW w:w="6350" w:type="dxa"/>
            <w:tcBorders>
              <w:top w:val="nil"/>
              <w:left w:val="nil"/>
              <w:bottom w:val="nil"/>
              <w:right w:val="nil"/>
            </w:tcBorders>
            <w:tcMar>
              <w:top w:w="0" w:type="dxa"/>
              <w:left w:w="62" w:type="dxa"/>
              <w:bottom w:w="0" w:type="dxa"/>
              <w:right w:w="62" w:type="dxa"/>
            </w:tcMar>
          </w:tcPr>
          <w:p w:rsidR="00000000" w:rsidP="000111B6">
            <w:pPr>
              <w:pStyle w:val="ListBullet"/>
              <w:rPr>
                <w:lang w:val="en-NZ"/>
              </w:rPr>
            </w:pPr>
            <w:r w:rsidRPr="000111B6">
              <w:t>interpret numerical aspects of the national dietary guidelines including recommended and proportion</w:t>
            </w:r>
            <w:r w:rsidRPr="000111B6">
              <w:t>al food intakes in different food groups.</w:t>
            </w:r>
          </w:p>
        </w:tc>
      </w:tr>
      <w:tr w:rsidTr="000111B6">
        <w:tblPrEx>
          <w:tblW w:w="0" w:type="auto"/>
          <w:tblLayout w:type="fixed"/>
          <w:tblCellMar>
            <w:left w:w="62" w:type="dxa"/>
            <w:right w:w="62" w:type="dxa"/>
          </w:tblCellMar>
          <w:tblLook w:val="0000"/>
        </w:tblPrEx>
        <w:trPr>
          <w:trHeight w:val="700"/>
        </w:trPr>
        <w:tc>
          <w:tcPr>
            <w:tcW w:w="2694" w:type="dxa"/>
            <w:tcBorders>
              <w:top w:val="nil"/>
              <w:left w:val="nil"/>
              <w:bottom w:val="nil"/>
              <w:right w:val="nil"/>
            </w:tcBorders>
            <w:tcMar>
              <w:top w:w="0" w:type="dxa"/>
              <w:left w:w="62" w:type="dxa"/>
              <w:bottom w:w="0" w:type="dxa"/>
              <w:right w:w="62" w:type="dxa"/>
            </w:tcMar>
          </w:tcPr>
          <w:p w:rsidR="00000000" w:rsidP="000111B6">
            <w:pPr>
              <w:pStyle w:val="BodyText"/>
              <w:rPr>
                <w:lang w:val="en-NZ"/>
              </w:rPr>
            </w:pPr>
            <w:r w:rsidRPr="000111B6">
              <w:t>Learning skills to:</w:t>
            </w:r>
          </w:p>
        </w:tc>
        <w:tc>
          <w:tcPr>
            <w:tcW w:w="6350" w:type="dxa"/>
            <w:tcBorders>
              <w:top w:val="nil"/>
              <w:left w:val="nil"/>
              <w:bottom w:val="nil"/>
              <w:right w:val="nil"/>
            </w:tcBorders>
            <w:tcMar>
              <w:top w:w="0" w:type="dxa"/>
              <w:left w:w="62" w:type="dxa"/>
              <w:bottom w:w="0" w:type="dxa"/>
              <w:right w:w="62" w:type="dxa"/>
            </w:tcMar>
          </w:tcPr>
          <w:p w:rsidR="00000000" w:rsidP="000111B6">
            <w:pPr>
              <w:pStyle w:val="ListBullet"/>
              <w:rPr>
                <w:lang w:val="en-NZ"/>
              </w:rPr>
            </w:pPr>
            <w:r w:rsidRPr="000111B6">
              <w:t>use information provided in national guidelines to update and extend knowledge of healthy eating practices.</w:t>
            </w:r>
          </w:p>
        </w:tc>
      </w:tr>
      <w:tr w:rsidTr="000111B6">
        <w:tblPrEx>
          <w:tblW w:w="0" w:type="auto"/>
          <w:tblLayout w:type="fixed"/>
          <w:tblCellMar>
            <w:left w:w="62" w:type="dxa"/>
            <w:right w:w="62" w:type="dxa"/>
          </w:tblCellMar>
          <w:tblLook w:val="0000"/>
        </w:tblPrEx>
        <w:trPr>
          <w:trHeight w:val="696"/>
        </w:trPr>
        <w:tc>
          <w:tcPr>
            <w:tcW w:w="2694" w:type="dxa"/>
            <w:tcBorders>
              <w:top w:val="nil"/>
              <w:left w:val="nil"/>
              <w:bottom w:val="nil"/>
              <w:right w:val="nil"/>
            </w:tcBorders>
            <w:tcMar>
              <w:top w:w="0" w:type="dxa"/>
              <w:left w:w="62" w:type="dxa"/>
              <w:bottom w:w="0" w:type="dxa"/>
              <w:right w:w="62" w:type="dxa"/>
            </w:tcMar>
          </w:tcPr>
          <w:p w:rsidR="00000000" w:rsidP="000111B6">
            <w:pPr>
              <w:pStyle w:val="BodyText"/>
              <w:rPr>
                <w:lang w:val="en-NZ"/>
              </w:rPr>
            </w:pPr>
            <w:r w:rsidRPr="000111B6">
              <w:t>Technology skills to:</w:t>
            </w:r>
          </w:p>
        </w:tc>
        <w:tc>
          <w:tcPr>
            <w:tcW w:w="6350" w:type="dxa"/>
            <w:tcBorders>
              <w:top w:val="nil"/>
              <w:left w:val="nil"/>
              <w:bottom w:val="nil"/>
              <w:right w:val="nil"/>
            </w:tcBorders>
            <w:tcMar>
              <w:top w:w="0" w:type="dxa"/>
              <w:left w:w="62" w:type="dxa"/>
              <w:bottom w:w="0" w:type="dxa"/>
              <w:right w:w="62" w:type="dxa"/>
            </w:tcMar>
          </w:tcPr>
          <w:p w:rsidR="00000000" w:rsidRPr="000111B6" w:rsidP="000111B6">
            <w:pPr>
              <w:pStyle w:val="ListBullet"/>
            </w:pPr>
            <w:r w:rsidRPr="000111B6">
              <w:t>access and use national dietary guideline documentation.</w:t>
            </w:r>
          </w:p>
        </w:tc>
      </w:tr>
    </w:tbl>
    <w:p w:rsidR="002128C1" w:rsidP="000111B6">
      <w:pPr>
        <w:pStyle w:val="BodyText"/>
      </w:pPr>
    </w:p>
    <w:p w:rsidR="002128C1" w:rsidP="000111B6">
      <w:pPr>
        <w:pStyle w:val="BodyText"/>
      </w:pPr>
    </w:p>
    <w:p w:rsidR="00000000" w:rsidRPr="000111B6" w:rsidP="000111B6">
      <w:pPr>
        <w:pStyle w:val="Heading1"/>
      </w:pPr>
      <w:bookmarkStart w:id="8" w:name="O_1198035"/>
      <w:bookmarkEnd w:id="8"/>
      <w:r w:rsidRPr="000111B6">
        <w:t>Unit Mapping Information</w:t>
      </w:r>
    </w:p>
    <w:p w:rsidR="00000000" w:rsidRPr="000111B6" w:rsidP="002128C1">
      <w:pPr>
        <w:pStyle w:val="BodyText"/>
      </w:pPr>
      <w:r w:rsidRPr="000111B6">
        <w:t>Supersedes and is not equivalent to SISFFIT005 Provide healthy eating information.</w:t>
      </w:r>
    </w:p>
    <w:p w:rsidR="00000000" w:rsidRPr="000111B6" w:rsidP="000111B6">
      <w:pPr>
        <w:pStyle w:val="Heading1"/>
      </w:pPr>
      <w:bookmarkStart w:id="9" w:name="O_1198042"/>
      <w:bookmarkEnd w:id="9"/>
      <w:r w:rsidRPr="000111B6">
        <w:t>Links</w:t>
      </w:r>
    </w:p>
    <w:p w:rsidR="00000000" w:rsidRPr="000111B6" w:rsidP="002128C1">
      <w:pPr>
        <w:pStyle w:val="BodyText"/>
      </w:pPr>
      <w:r w:rsidRPr="000111B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93F62">
        <w:rPr>
          <w:rStyle w:val="Hyperlink"/>
        </w:rPr>
        <w:t>https://vetnet.gov.au/Pages/TrainingDocs.aspx?q=1ca50016-24d2-4161-a044-d3faa200268b</w:t>
      </w:r>
      <w:r>
        <w:fldChar w:fldCharType="end"/>
      </w:r>
    </w:p>
    <w:p w:rsidR="00000000" w:rsidRPr="000111B6" w:rsidP="000111B6"/>
    <w:sectPr w:rsidSect="000111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B6" w:rsidRPr="002128C1" w:rsidP="002128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C1" w:rsidP="000111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28C1" w:rsidP="000111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128C1" w:rsidP="000111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11B6" w:rsidRPr="002128C1" w:rsidP="002128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C1" w:rsidRPr="002D2AF8" w:rsidP="000111B6">
    <w:pPr>
      <w:pStyle w:val="Header"/>
      <w:framePr w:wrap="around"/>
    </w:pPr>
    <w:r>
      <w:fldChar w:fldCharType="begin"/>
    </w:r>
    <w:r>
      <w:instrText xml:space="preserve"> TITLE   \* MERGEFORMAT </w:instrText>
    </w:r>
    <w:r>
      <w:fldChar w:fldCharType="separate"/>
    </w:r>
    <w:r>
      <w:t>SISFFIT052 Provide healthy eating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128C1" w:rsidP="000111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FE0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AA0C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1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1B6"/>
    <w:pPr>
      <w:spacing w:before="360" w:after="60"/>
      <w:outlineLvl w:val="0"/>
    </w:pPr>
    <w:rPr>
      <w:sz w:val="32"/>
    </w:rPr>
  </w:style>
  <w:style w:type="paragraph" w:styleId="Heading2">
    <w:name w:val="heading 2"/>
    <w:basedOn w:val="HeadingBase"/>
    <w:next w:val="BodyText"/>
    <w:link w:val="Heading2Char"/>
    <w:qFormat/>
    <w:rsid w:val="000111B6"/>
    <w:pPr>
      <w:keepLines/>
      <w:spacing w:before="240" w:after="120"/>
      <w:outlineLvl w:val="1"/>
    </w:pPr>
    <w:rPr>
      <w:sz w:val="28"/>
      <w:szCs w:val="40"/>
    </w:rPr>
  </w:style>
  <w:style w:type="paragraph" w:styleId="Heading3">
    <w:name w:val="heading 3"/>
    <w:basedOn w:val="HeadingBase"/>
    <w:next w:val="BodyText"/>
    <w:link w:val="Heading3Char"/>
    <w:qFormat/>
    <w:rsid w:val="000111B6"/>
    <w:pPr>
      <w:spacing w:before="180" w:after="120"/>
      <w:outlineLvl w:val="2"/>
    </w:pPr>
    <w:rPr>
      <w:spacing w:val="-10"/>
      <w:kern w:val="32"/>
    </w:rPr>
  </w:style>
  <w:style w:type="paragraph" w:styleId="Heading4">
    <w:name w:val="heading 4"/>
    <w:basedOn w:val="HeadingBase"/>
    <w:next w:val="BodyText"/>
    <w:link w:val="Heading4Char"/>
    <w:qFormat/>
    <w:rsid w:val="000111B6"/>
    <w:pPr>
      <w:spacing w:before="160" w:after="120"/>
      <w:outlineLvl w:val="3"/>
    </w:pPr>
    <w:rPr>
      <w:sz w:val="22"/>
    </w:rPr>
  </w:style>
  <w:style w:type="paragraph" w:styleId="Heading5">
    <w:name w:val="heading 5"/>
    <w:basedOn w:val="HeadingBase"/>
    <w:next w:val="Normal"/>
    <w:link w:val="Heading5Char"/>
    <w:qFormat/>
    <w:rsid w:val="000111B6"/>
    <w:pPr>
      <w:spacing w:before="80"/>
      <w:outlineLvl w:val="4"/>
    </w:pPr>
    <w:rPr>
      <w:color w:val="918585"/>
      <w:sz w:val="20"/>
    </w:rPr>
  </w:style>
  <w:style w:type="paragraph" w:styleId="Heading6">
    <w:name w:val="heading 6"/>
    <w:basedOn w:val="HeadingBase"/>
    <w:next w:val="Normal"/>
    <w:link w:val="Heading6Char"/>
    <w:qFormat/>
    <w:rsid w:val="000111B6"/>
    <w:pPr>
      <w:spacing w:before="60"/>
      <w:outlineLvl w:val="5"/>
    </w:pPr>
    <w:rPr>
      <w:color w:val="918585"/>
      <w:sz w:val="20"/>
    </w:rPr>
  </w:style>
  <w:style w:type="paragraph" w:styleId="Heading7">
    <w:name w:val="heading 7"/>
    <w:basedOn w:val="Normal"/>
    <w:next w:val="Normal"/>
    <w:link w:val="Heading7Char"/>
    <w:qFormat/>
    <w:rsid w:val="000111B6"/>
    <w:pPr>
      <w:ind w:left="720"/>
      <w:outlineLvl w:val="6"/>
    </w:pPr>
    <w:rPr>
      <w:i/>
    </w:rPr>
  </w:style>
  <w:style w:type="paragraph" w:styleId="Heading8">
    <w:name w:val="heading 8"/>
    <w:basedOn w:val="Normal"/>
    <w:next w:val="Normal"/>
    <w:link w:val="Heading8Char"/>
    <w:qFormat/>
    <w:rsid w:val="000111B6"/>
    <w:pPr>
      <w:ind w:left="720"/>
      <w:outlineLvl w:val="7"/>
    </w:pPr>
    <w:rPr>
      <w:i/>
    </w:rPr>
  </w:style>
  <w:style w:type="paragraph" w:styleId="Heading9">
    <w:name w:val="heading 9"/>
    <w:basedOn w:val="Normal"/>
    <w:next w:val="Normal"/>
    <w:link w:val="Heading9Char"/>
    <w:qFormat/>
    <w:rsid w:val="000111B6"/>
    <w:pPr>
      <w:ind w:left="720"/>
      <w:outlineLvl w:val="8"/>
    </w:pPr>
    <w:rPr>
      <w:i/>
    </w:rPr>
  </w:style>
  <w:style w:type="character" w:default="1" w:styleId="DefaultParagraphFont">
    <w:name w:val="Default Paragraph Font"/>
    <w:uiPriority w:val="1"/>
    <w:unhideWhenUsed/>
    <w:rsid w:val="00011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1B6"/>
  </w:style>
  <w:style w:type="character" w:customStyle="1" w:styleId="Heading1Char">
    <w:name w:val="Heading 1 Char"/>
    <w:basedOn w:val="DefaultParagraphFont"/>
    <w:link w:val="Heading1"/>
    <w:rsid w:val="000111B6"/>
    <w:rPr>
      <w:rFonts w:ascii="Times New Roman" w:eastAsia="Times New Roman" w:hAnsi="Times New Roman" w:cs="Times New Roman"/>
      <w:b/>
      <w:sz w:val="32"/>
      <w:szCs w:val="20"/>
      <w:lang w:eastAsia="en-US"/>
    </w:rPr>
  </w:style>
  <w:style w:type="paragraph" w:styleId="BodyText">
    <w:name w:val="Body Text"/>
    <w:basedOn w:val="Normal"/>
    <w:link w:val="BodyTextChar"/>
    <w:rsid w:val="000111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11B6"/>
    <w:rPr>
      <w:rFonts w:ascii="Times New Roman" w:eastAsia="Times New Roman" w:hAnsi="Times New Roman" w:cs="Times New Roman"/>
      <w:sz w:val="24"/>
      <w:lang w:eastAsia="en-US"/>
    </w:rPr>
  </w:style>
  <w:style w:type="paragraph" w:styleId="List">
    <w:name w:val="List"/>
    <w:basedOn w:val="BodyText"/>
    <w:next w:val="BodyText"/>
    <w:rsid w:val="000111B6"/>
    <w:pPr>
      <w:tabs>
        <w:tab w:val="left" w:pos="340"/>
      </w:tabs>
      <w:spacing w:before="60" w:after="60"/>
      <w:ind w:left="340" w:hanging="340"/>
    </w:pPr>
  </w:style>
  <w:style w:type="paragraph" w:styleId="ListBullet">
    <w:name w:val="List Bullet"/>
    <w:basedOn w:val="List"/>
    <w:rsid w:val="000111B6"/>
    <w:pPr>
      <w:numPr>
        <w:numId w:val="11"/>
      </w:numPr>
      <w:tabs>
        <w:tab w:val="clear" w:pos="340"/>
      </w:tabs>
      <w:spacing w:before="40" w:after="40"/>
    </w:pPr>
  </w:style>
  <w:style w:type="character" w:customStyle="1" w:styleId="SpecialBold">
    <w:name w:val="Special Bold"/>
    <w:basedOn w:val="DefaultParagraphFont"/>
    <w:rsid w:val="000111B6"/>
    <w:rPr>
      <w:b/>
      <w:spacing w:val="0"/>
    </w:rPr>
  </w:style>
  <w:style w:type="character" w:styleId="Emphasis">
    <w:name w:val="Emphasis"/>
    <w:basedOn w:val="DefaultParagraphFont"/>
    <w:qFormat/>
    <w:rsid w:val="000111B6"/>
    <w:rPr>
      <w:i/>
    </w:rPr>
  </w:style>
  <w:style w:type="paragraph" w:customStyle="1" w:styleId="SuperHeading">
    <w:name w:val="SuperHeading"/>
    <w:basedOn w:val="Normal"/>
    <w:rsid w:val="000111B6"/>
    <w:pPr>
      <w:spacing w:before="240" w:after="120"/>
      <w:outlineLvl w:val="0"/>
    </w:pPr>
    <w:rPr>
      <w:rFonts w:ascii="Times New Roman" w:hAnsi="Times New Roman"/>
      <w:b/>
      <w:sz w:val="32"/>
    </w:rPr>
  </w:style>
  <w:style w:type="paragraph" w:customStyle="1" w:styleId="AllowPageBreak">
    <w:name w:val="AllowPageBreak"/>
    <w:rsid w:val="000111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1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1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1B6"/>
    <w:rPr>
      <w:rFonts w:ascii="Courier New" w:eastAsia="Times New Roman" w:hAnsi="Courier New" w:cs="Times New Roman"/>
      <w:i/>
      <w:szCs w:val="20"/>
      <w:lang w:eastAsia="en-US"/>
    </w:rPr>
  </w:style>
  <w:style w:type="paragraph" w:customStyle="1" w:styleId="HeadingBase">
    <w:name w:val="Heading Base"/>
    <w:rsid w:val="00011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1B6"/>
    <w:pPr>
      <w:tabs>
        <w:tab w:val="right" w:leader="dot" w:pos="9072"/>
      </w:tabs>
      <w:ind w:left="567"/>
    </w:pPr>
    <w:rPr>
      <w:szCs w:val="22"/>
    </w:rPr>
  </w:style>
  <w:style w:type="paragraph" w:customStyle="1" w:styleId="TOCBase">
    <w:name w:val="TOC Base"/>
    <w:rsid w:val="00011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1B6"/>
    <w:pPr>
      <w:tabs>
        <w:tab w:val="right" w:leader="dot" w:pos="9072"/>
      </w:tabs>
      <w:spacing w:before="40" w:after="40"/>
      <w:ind w:left="284"/>
    </w:pPr>
    <w:rPr>
      <w:rFonts w:ascii="Times New Roman" w:hAnsi="Times New Roman"/>
    </w:rPr>
  </w:style>
  <w:style w:type="paragraph" w:styleId="TOC1">
    <w:name w:val="toc 1"/>
    <w:basedOn w:val="TOCBase"/>
    <w:next w:val="Normal"/>
    <w:rsid w:val="000111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1B6"/>
    <w:rPr>
      <w:rFonts w:ascii="Times New Roman" w:eastAsia="Times New Roman" w:hAnsi="Times New Roman" w:cs="Times New Roman"/>
      <w:sz w:val="16"/>
      <w:lang w:eastAsia="en-US"/>
    </w:rPr>
  </w:style>
  <w:style w:type="paragraph" w:styleId="Title">
    <w:name w:val="Title"/>
    <w:basedOn w:val="HeadingBase"/>
    <w:link w:val="TitleChar"/>
    <w:qFormat/>
    <w:rsid w:val="000111B6"/>
    <w:pPr>
      <w:spacing w:before="5040"/>
      <w:jc w:val="center"/>
    </w:pPr>
    <w:rPr>
      <w:sz w:val="48"/>
      <w:szCs w:val="72"/>
      <w:lang w:val="en-US"/>
    </w:rPr>
  </w:style>
  <w:style w:type="character" w:customStyle="1" w:styleId="TitleChar">
    <w:name w:val="Title Char"/>
    <w:basedOn w:val="DefaultParagraphFont"/>
    <w:link w:val="Title"/>
    <w:rsid w:val="00011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1B6"/>
    <w:pPr>
      <w:tabs>
        <w:tab w:val="left" w:pos="3600"/>
        <w:tab w:val="left" w:pos="3958"/>
      </w:tabs>
    </w:pPr>
  </w:style>
  <w:style w:type="paragraph" w:customStyle="1" w:styleId="Note">
    <w:name w:val="Note"/>
    <w:basedOn w:val="BodyText"/>
    <w:rsid w:val="000111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1B6"/>
    <w:pPr>
      <w:framePr w:wrap="auto" w:hAnchor="text" w:y="6049"/>
    </w:pPr>
    <w:rPr>
      <w:color w:val="000000"/>
      <w:sz w:val="40"/>
    </w:rPr>
  </w:style>
  <w:style w:type="paragraph" w:customStyle="1" w:styleId="TOCTitle">
    <w:name w:val="TOCTitle"/>
    <w:basedOn w:val="Heading1"/>
    <w:rsid w:val="000111B6"/>
    <w:pPr>
      <w:spacing w:after="240"/>
      <w:jc w:val="center"/>
      <w:outlineLvl w:val="9"/>
    </w:pPr>
    <w:rPr>
      <w:caps/>
    </w:rPr>
  </w:style>
  <w:style w:type="paragraph" w:customStyle="1" w:styleId="Version">
    <w:name w:val="Version"/>
    <w:rsid w:val="000111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1B6"/>
    <w:pPr>
      <w:numPr>
        <w:numId w:val="12"/>
      </w:numPr>
      <w:tabs>
        <w:tab w:val="clear" w:pos="680"/>
      </w:tabs>
    </w:pPr>
  </w:style>
  <w:style w:type="paragraph" w:styleId="Index1">
    <w:name w:val="index 1"/>
    <w:basedOn w:val="Normal"/>
    <w:next w:val="Normal"/>
    <w:semiHidden/>
    <w:rsid w:val="000111B6"/>
    <w:pPr>
      <w:keepNext w:val="0"/>
      <w:tabs>
        <w:tab w:val="right" w:pos="4176"/>
      </w:tabs>
      <w:ind w:left="198" w:hanging="198"/>
    </w:pPr>
    <w:rPr>
      <w:rFonts w:ascii="Garamond" w:hAnsi="Garamond"/>
    </w:rPr>
  </w:style>
  <w:style w:type="paragraph" w:styleId="IndexHeading">
    <w:name w:val="index heading"/>
    <w:basedOn w:val="Normal"/>
    <w:next w:val="Index1"/>
    <w:semiHidden/>
    <w:rsid w:val="000111B6"/>
    <w:pPr>
      <w:spacing w:before="120" w:after="120"/>
    </w:pPr>
    <w:rPr>
      <w:rFonts w:ascii="Arial" w:hAnsi="Arial"/>
      <w:b/>
      <w:color w:val="918585"/>
      <w:sz w:val="24"/>
    </w:rPr>
  </w:style>
  <w:style w:type="paragraph" w:styleId="Header">
    <w:name w:val="header"/>
    <w:basedOn w:val="Normal"/>
    <w:link w:val="HeaderChar"/>
    <w:rsid w:val="00011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1B6"/>
    <w:rPr>
      <w:rFonts w:ascii="Times New Roman" w:eastAsia="Times New Roman" w:hAnsi="Times New Roman" w:cs="Times New Roman"/>
      <w:sz w:val="16"/>
      <w:szCs w:val="20"/>
      <w:lang w:val="en-GB" w:eastAsia="en-US"/>
    </w:rPr>
  </w:style>
  <w:style w:type="paragraph" w:customStyle="1" w:styleId="Chapter">
    <w:name w:val="Chapter"/>
    <w:basedOn w:val="Normal"/>
    <w:rsid w:val="000111B6"/>
    <w:pPr>
      <w:spacing w:before="240"/>
    </w:pPr>
    <w:rPr>
      <w:rFonts w:ascii="Times New Roman" w:hAnsi="Times New Roman"/>
      <w:smallCaps/>
      <w:spacing w:val="80"/>
      <w:sz w:val="28"/>
    </w:rPr>
  </w:style>
  <w:style w:type="paragraph" w:customStyle="1" w:styleId="InChapter">
    <w:name w:val="InChapter"/>
    <w:basedOn w:val="Heading3"/>
    <w:rsid w:val="000111B6"/>
    <w:pPr>
      <w:spacing w:after="240"/>
      <w:outlineLvl w:val="9"/>
    </w:pPr>
    <w:rPr>
      <w:noProof/>
    </w:rPr>
  </w:style>
  <w:style w:type="paragraph" w:styleId="Index2">
    <w:name w:val="index 2"/>
    <w:basedOn w:val="Normal"/>
    <w:next w:val="Normal"/>
    <w:semiHidden/>
    <w:rsid w:val="000111B6"/>
    <w:pPr>
      <w:tabs>
        <w:tab w:val="right" w:pos="4176"/>
      </w:tabs>
      <w:ind w:left="568" w:hanging="284"/>
    </w:pPr>
    <w:rPr>
      <w:rFonts w:ascii="Garamond" w:hAnsi="Garamond"/>
    </w:rPr>
  </w:style>
  <w:style w:type="paragraph" w:customStyle="1" w:styleId="Byline">
    <w:name w:val="Byline"/>
    <w:rsid w:val="00011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1B6"/>
    <w:pPr>
      <w:tabs>
        <w:tab w:val="clear" w:pos="3600"/>
        <w:tab w:val="clear" w:pos="3958"/>
      </w:tabs>
      <w:jc w:val="right"/>
    </w:pPr>
  </w:style>
  <w:style w:type="paragraph" w:styleId="Caption">
    <w:name w:val="caption"/>
    <w:basedOn w:val="BodyText"/>
    <w:next w:val="Normal"/>
    <w:qFormat/>
    <w:rsid w:val="000111B6"/>
    <w:pPr>
      <w:framePr w:w="2268" w:hSpace="181" w:vSpace="181" w:wrap="around" w:vAnchor="text" w:hAnchor="page" w:x="1135" w:y="285" w:anchorLock="1"/>
    </w:pPr>
    <w:rPr>
      <w:i/>
    </w:rPr>
  </w:style>
  <w:style w:type="paragraph" w:customStyle="1" w:styleId="MiniTOCTitle">
    <w:name w:val="MiniTOCTitle"/>
    <w:basedOn w:val="Heading4"/>
    <w:rsid w:val="000111B6"/>
    <w:pPr>
      <w:spacing w:before="240"/>
      <w:outlineLvl w:val="9"/>
    </w:pPr>
    <w:rPr>
      <w:noProof/>
      <w:sz w:val="24"/>
    </w:rPr>
  </w:style>
  <w:style w:type="paragraph" w:customStyle="1" w:styleId="MiniTOCItem">
    <w:name w:val="MiniTOCItem"/>
    <w:basedOn w:val="ListBullet"/>
    <w:rsid w:val="000111B6"/>
    <w:pPr>
      <w:numPr>
        <w:numId w:val="0"/>
      </w:numPr>
      <w:tabs>
        <w:tab w:val="right" w:leader="dot" w:pos="6521"/>
      </w:tabs>
      <w:spacing w:before="0" w:after="0"/>
    </w:pPr>
  </w:style>
  <w:style w:type="paragraph" w:customStyle="1" w:styleId="TOFTitle">
    <w:name w:val="TOFTitle"/>
    <w:basedOn w:val="TOCTitle"/>
    <w:rsid w:val="000111B6"/>
  </w:style>
  <w:style w:type="paragraph" w:styleId="TableofFigures">
    <w:name w:val="table of figures"/>
    <w:basedOn w:val="Normal"/>
    <w:next w:val="Normal"/>
    <w:semiHidden/>
    <w:rsid w:val="000111B6"/>
    <w:pPr>
      <w:tabs>
        <w:tab w:val="right" w:leader="dot" w:pos="9072"/>
      </w:tabs>
      <w:ind w:left="970" w:hanging="403"/>
    </w:pPr>
    <w:rPr>
      <w:rFonts w:ascii="Times New Roman" w:hAnsi="Times New Roman"/>
      <w:b/>
    </w:rPr>
  </w:style>
  <w:style w:type="paragraph" w:styleId="ListNumber">
    <w:name w:val="List Number"/>
    <w:basedOn w:val="List"/>
    <w:rsid w:val="000111B6"/>
    <w:pPr>
      <w:numPr>
        <w:numId w:val="14"/>
      </w:numPr>
      <w:tabs>
        <w:tab w:val="clear" w:pos="340"/>
      </w:tabs>
    </w:pPr>
  </w:style>
  <w:style w:type="character" w:customStyle="1" w:styleId="WingdingSymbols">
    <w:name w:val="Wingding Symbols"/>
    <w:rsid w:val="000111B6"/>
    <w:rPr>
      <w:rFonts w:ascii="Wingdings" w:hAnsi="Wingdings"/>
    </w:rPr>
  </w:style>
  <w:style w:type="paragraph" w:customStyle="1" w:styleId="TableHeading">
    <w:name w:val="Table Heading"/>
    <w:basedOn w:val="HeadingBase"/>
    <w:rsid w:val="000111B6"/>
    <w:pPr>
      <w:keepLines/>
      <w:pBdr>
        <w:bottom w:val="single" w:sz="6" w:space="1" w:color="918585"/>
      </w:pBdr>
      <w:spacing w:before="240"/>
    </w:pPr>
  </w:style>
  <w:style w:type="character" w:customStyle="1" w:styleId="HotSpot">
    <w:name w:val="HotSpot"/>
    <w:rsid w:val="000111B6"/>
    <w:rPr>
      <w:color w:val="0033CC"/>
      <w:u w:val="none"/>
    </w:rPr>
  </w:style>
  <w:style w:type="paragraph" w:customStyle="1" w:styleId="BodyTextRight">
    <w:name w:val="Body Text Right"/>
    <w:basedOn w:val="BodyText"/>
    <w:rsid w:val="000111B6"/>
    <w:pPr>
      <w:spacing w:before="0" w:after="0"/>
      <w:jc w:val="right"/>
    </w:pPr>
  </w:style>
  <w:style w:type="paragraph" w:styleId="Index3">
    <w:name w:val="index 3"/>
    <w:basedOn w:val="ListNumber2"/>
    <w:next w:val="Normal"/>
    <w:semiHidden/>
    <w:rsid w:val="000111B6"/>
    <w:pPr>
      <w:numPr>
        <w:numId w:val="0"/>
      </w:numPr>
      <w:tabs>
        <w:tab w:val="right" w:leader="dot" w:pos="4176"/>
      </w:tabs>
    </w:pPr>
  </w:style>
  <w:style w:type="paragraph" w:styleId="ListNumber2">
    <w:name w:val="List Number 2"/>
    <w:basedOn w:val="List2"/>
    <w:rsid w:val="000111B6"/>
    <w:pPr>
      <w:numPr>
        <w:numId w:val="9"/>
      </w:numPr>
      <w:tabs>
        <w:tab w:val="clear" w:pos="1060"/>
      </w:tabs>
    </w:pPr>
  </w:style>
  <w:style w:type="paragraph" w:customStyle="1" w:styleId="MarginNote">
    <w:name w:val="Margin Note"/>
    <w:basedOn w:val="BodyText"/>
    <w:rsid w:val="00011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1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1B6"/>
    <w:rPr>
      <w:sz w:val="32"/>
    </w:rPr>
  </w:style>
  <w:style w:type="paragraph" w:customStyle="1" w:styleId="HeadingProcedure">
    <w:name w:val="Heading Procedure"/>
    <w:basedOn w:val="HeadingBase"/>
    <w:next w:val="Normal"/>
    <w:rsid w:val="000111B6"/>
    <w:pPr>
      <w:tabs>
        <w:tab w:val="left" w:pos="0"/>
      </w:tabs>
      <w:spacing w:before="120" w:after="60"/>
    </w:pPr>
    <w:rPr>
      <w:i/>
      <w:color w:val="918585"/>
      <w:sz w:val="22"/>
    </w:rPr>
  </w:style>
  <w:style w:type="paragraph" w:customStyle="1" w:styleId="TableBodyText">
    <w:name w:val="Table Body Text"/>
    <w:basedOn w:val="BodyText"/>
    <w:rsid w:val="000111B6"/>
    <w:pPr>
      <w:spacing w:before="60" w:after="60"/>
    </w:pPr>
  </w:style>
  <w:style w:type="paragraph" w:styleId="ListContinue">
    <w:name w:val="List Continue"/>
    <w:basedOn w:val="List"/>
    <w:rsid w:val="000111B6"/>
    <w:pPr>
      <w:ind w:firstLine="0"/>
    </w:pPr>
  </w:style>
  <w:style w:type="paragraph" w:customStyle="1" w:styleId="ListNote">
    <w:name w:val="List Note"/>
    <w:basedOn w:val="List"/>
    <w:rsid w:val="000111B6"/>
    <w:pPr>
      <w:pBdr>
        <w:top w:val="single" w:sz="6" w:space="2" w:color="918585"/>
        <w:bottom w:val="single" w:sz="6" w:space="2" w:color="918585"/>
      </w:pBdr>
      <w:tabs>
        <w:tab w:val="left" w:pos="1021"/>
      </w:tabs>
      <w:ind w:firstLine="0"/>
    </w:pPr>
  </w:style>
  <w:style w:type="paragraph" w:customStyle="1" w:styleId="Warning">
    <w:name w:val="Warning"/>
    <w:basedOn w:val="BodyText"/>
    <w:rsid w:val="000111B6"/>
    <w:pPr>
      <w:shd w:val="clear" w:color="auto" w:fill="D9D9D9"/>
      <w:tabs>
        <w:tab w:val="left" w:pos="992"/>
      </w:tabs>
      <w:ind w:left="119" w:right="119"/>
    </w:pPr>
    <w:rPr>
      <w:sz w:val="20"/>
    </w:rPr>
  </w:style>
  <w:style w:type="paragraph" w:customStyle="1" w:styleId="MarginIcons">
    <w:name w:val="Margin Icons"/>
    <w:basedOn w:val="BodyText"/>
    <w:rsid w:val="00011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1B6"/>
    <w:rPr>
      <w:rFonts w:ascii="Courier New" w:hAnsi="Courier New"/>
    </w:rPr>
  </w:style>
  <w:style w:type="paragraph" w:customStyle="1" w:styleId="NoteBullet">
    <w:name w:val="Note Bullet"/>
    <w:basedOn w:val="Note"/>
    <w:rsid w:val="000111B6"/>
    <w:pPr>
      <w:tabs>
        <w:tab w:val="clear" w:pos="680"/>
      </w:tabs>
      <w:spacing w:before="60" w:after="60"/>
    </w:pPr>
  </w:style>
  <w:style w:type="paragraph" w:customStyle="1" w:styleId="SubHeading2">
    <w:name w:val="SubHeading2"/>
    <w:basedOn w:val="HeadingBase"/>
    <w:rsid w:val="000111B6"/>
    <w:pPr>
      <w:spacing w:before="240" w:after="60"/>
    </w:pPr>
    <w:rPr>
      <w:sz w:val="20"/>
    </w:rPr>
  </w:style>
  <w:style w:type="paragraph" w:customStyle="1" w:styleId="SubHeading1">
    <w:name w:val="SubHeading1"/>
    <w:basedOn w:val="HeadingBase"/>
    <w:rsid w:val="000111B6"/>
    <w:pPr>
      <w:spacing w:before="240" w:after="60"/>
    </w:pPr>
    <w:rPr>
      <w:color w:val="918585"/>
      <w:sz w:val="22"/>
    </w:rPr>
  </w:style>
  <w:style w:type="paragraph" w:customStyle="1" w:styleId="SideHeading">
    <w:name w:val="Side Heading"/>
    <w:basedOn w:val="HeadingBase"/>
    <w:rsid w:val="00011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1B6"/>
    <w:pPr>
      <w:numPr>
        <w:numId w:val="10"/>
      </w:numPr>
    </w:pPr>
  </w:style>
  <w:style w:type="paragraph" w:styleId="PlainText">
    <w:name w:val="Plain Text"/>
    <w:basedOn w:val="Normal"/>
    <w:link w:val="PlainTextChar"/>
    <w:rsid w:val="000111B6"/>
    <w:rPr>
      <w:sz w:val="20"/>
    </w:rPr>
  </w:style>
  <w:style w:type="character" w:customStyle="1" w:styleId="PlainTextChar">
    <w:name w:val="Plain Text Char"/>
    <w:basedOn w:val="DefaultParagraphFont"/>
    <w:link w:val="PlainText"/>
    <w:rsid w:val="000111B6"/>
    <w:rPr>
      <w:rFonts w:ascii="Courier New" w:eastAsia="Times New Roman" w:hAnsi="Courier New" w:cs="Times New Roman"/>
      <w:sz w:val="20"/>
      <w:szCs w:val="20"/>
      <w:lang w:eastAsia="en-US"/>
    </w:rPr>
  </w:style>
  <w:style w:type="character" w:customStyle="1" w:styleId="MenuOption">
    <w:name w:val="Menu Option"/>
    <w:basedOn w:val="DefaultParagraphFont"/>
    <w:rsid w:val="000111B6"/>
    <w:rPr>
      <w:b/>
      <w:smallCaps/>
    </w:rPr>
  </w:style>
  <w:style w:type="paragraph" w:customStyle="1" w:styleId="TableListNumber">
    <w:name w:val="Table List Number"/>
    <w:basedOn w:val="ListNumber"/>
    <w:rsid w:val="000111B6"/>
    <w:pPr>
      <w:numPr>
        <w:numId w:val="0"/>
      </w:numPr>
    </w:pPr>
  </w:style>
  <w:style w:type="paragraph" w:styleId="TOC4">
    <w:name w:val="toc 4"/>
    <w:basedOn w:val="TOCBase"/>
    <w:next w:val="Normal"/>
    <w:semiHidden/>
    <w:rsid w:val="000111B6"/>
    <w:pPr>
      <w:tabs>
        <w:tab w:val="right" w:leader="dot" w:pos="9071"/>
      </w:tabs>
      <w:ind w:left="1701"/>
    </w:pPr>
  </w:style>
  <w:style w:type="paragraph" w:customStyle="1" w:styleId="ListAlpha">
    <w:name w:val="List Alpha"/>
    <w:basedOn w:val="List"/>
    <w:rsid w:val="000111B6"/>
    <w:pPr>
      <w:numPr>
        <w:numId w:val="8"/>
      </w:numPr>
    </w:pPr>
  </w:style>
  <w:style w:type="paragraph" w:customStyle="1" w:styleId="ListAlpha2">
    <w:name w:val="List Alpha 2"/>
    <w:basedOn w:val="List2"/>
    <w:rsid w:val="000111B6"/>
    <w:pPr>
      <w:numPr>
        <w:numId w:val="7"/>
      </w:numPr>
    </w:pPr>
  </w:style>
  <w:style w:type="paragraph" w:styleId="List2">
    <w:name w:val="List 2"/>
    <w:basedOn w:val="BodyText"/>
    <w:rsid w:val="000111B6"/>
    <w:pPr>
      <w:tabs>
        <w:tab w:val="left" w:pos="680"/>
      </w:tabs>
      <w:spacing w:before="60" w:after="60"/>
      <w:ind w:left="680" w:hanging="340"/>
    </w:pPr>
  </w:style>
  <w:style w:type="paragraph" w:styleId="List3">
    <w:name w:val="List 3"/>
    <w:basedOn w:val="BodyText"/>
    <w:rsid w:val="000111B6"/>
    <w:pPr>
      <w:tabs>
        <w:tab w:val="left" w:pos="1021"/>
      </w:tabs>
      <w:spacing w:before="60" w:after="60"/>
      <w:ind w:left="1020" w:hanging="340"/>
    </w:pPr>
  </w:style>
  <w:style w:type="paragraph" w:styleId="List4">
    <w:name w:val="List 4"/>
    <w:basedOn w:val="BodyText"/>
    <w:rsid w:val="000111B6"/>
    <w:pPr>
      <w:tabs>
        <w:tab w:val="left" w:pos="1361"/>
      </w:tabs>
      <w:spacing w:before="60" w:after="60"/>
      <w:ind w:left="1361" w:hanging="340"/>
    </w:pPr>
  </w:style>
  <w:style w:type="paragraph" w:styleId="List5">
    <w:name w:val="List 5"/>
    <w:basedOn w:val="BodyText"/>
    <w:rsid w:val="000111B6"/>
    <w:pPr>
      <w:tabs>
        <w:tab w:val="left" w:pos="1701"/>
      </w:tabs>
      <w:spacing w:before="60" w:after="60"/>
      <w:ind w:left="1701" w:hanging="340"/>
    </w:pPr>
  </w:style>
  <w:style w:type="paragraph" w:styleId="ListBullet3">
    <w:name w:val="List Bullet 3"/>
    <w:basedOn w:val="List3"/>
    <w:rsid w:val="000111B6"/>
    <w:pPr>
      <w:numPr>
        <w:numId w:val="13"/>
      </w:numPr>
      <w:tabs>
        <w:tab w:val="clear" w:pos="1021"/>
      </w:tabs>
      <w:ind w:left="1037" w:hanging="357"/>
    </w:pPr>
  </w:style>
  <w:style w:type="paragraph" w:styleId="ListBullet4">
    <w:name w:val="List Bullet 4"/>
    <w:basedOn w:val="List4"/>
    <w:rsid w:val="000111B6"/>
    <w:pPr>
      <w:numPr>
        <w:numId w:val="2"/>
      </w:numPr>
      <w:tabs>
        <w:tab w:val="clear" w:pos="1361"/>
      </w:tabs>
    </w:pPr>
  </w:style>
  <w:style w:type="paragraph" w:styleId="ListBullet5">
    <w:name w:val="List Bullet 5"/>
    <w:basedOn w:val="List5"/>
    <w:rsid w:val="000111B6"/>
    <w:pPr>
      <w:numPr>
        <w:numId w:val="3"/>
      </w:numPr>
    </w:pPr>
  </w:style>
  <w:style w:type="paragraph" w:styleId="ListContinue2">
    <w:name w:val="List Continue 2"/>
    <w:basedOn w:val="List2"/>
    <w:rsid w:val="000111B6"/>
    <w:pPr>
      <w:ind w:firstLine="0"/>
    </w:pPr>
  </w:style>
  <w:style w:type="paragraph" w:styleId="ListContinue3">
    <w:name w:val="List Continue 3"/>
    <w:basedOn w:val="List3"/>
    <w:rsid w:val="000111B6"/>
    <w:pPr>
      <w:ind w:left="1021" w:firstLine="0"/>
    </w:pPr>
  </w:style>
  <w:style w:type="paragraph" w:styleId="ListContinue4">
    <w:name w:val="List Continue 4"/>
    <w:basedOn w:val="List4"/>
    <w:rsid w:val="000111B6"/>
    <w:pPr>
      <w:ind w:firstLine="0"/>
    </w:pPr>
  </w:style>
  <w:style w:type="paragraph" w:styleId="ListContinue5">
    <w:name w:val="List Continue 5"/>
    <w:basedOn w:val="List5"/>
    <w:rsid w:val="000111B6"/>
    <w:pPr>
      <w:ind w:firstLine="0"/>
    </w:pPr>
  </w:style>
  <w:style w:type="paragraph" w:styleId="ListNumber3">
    <w:name w:val="List Number 3"/>
    <w:basedOn w:val="List3"/>
    <w:rsid w:val="000111B6"/>
    <w:pPr>
      <w:numPr>
        <w:numId w:val="4"/>
      </w:numPr>
    </w:pPr>
  </w:style>
  <w:style w:type="paragraph" w:styleId="ListNumber4">
    <w:name w:val="List Number 4"/>
    <w:basedOn w:val="List4"/>
    <w:rsid w:val="000111B6"/>
    <w:pPr>
      <w:numPr>
        <w:numId w:val="5"/>
      </w:numPr>
    </w:pPr>
  </w:style>
  <w:style w:type="paragraph" w:styleId="ListNumber5">
    <w:name w:val="List Number 5"/>
    <w:basedOn w:val="List5"/>
    <w:rsid w:val="000111B6"/>
    <w:pPr>
      <w:numPr>
        <w:numId w:val="6"/>
      </w:numPr>
    </w:pPr>
  </w:style>
  <w:style w:type="paragraph" w:styleId="BlockText">
    <w:name w:val="Block Text"/>
    <w:basedOn w:val="Normal"/>
    <w:rsid w:val="000111B6"/>
    <w:pPr>
      <w:spacing w:after="120"/>
      <w:ind w:left="1440" w:right="1440"/>
    </w:pPr>
  </w:style>
  <w:style w:type="character" w:customStyle="1" w:styleId="Subscript">
    <w:name w:val="Subscript"/>
    <w:basedOn w:val="DefaultParagraphFont"/>
    <w:rsid w:val="000111B6"/>
    <w:rPr>
      <w:sz w:val="16"/>
      <w:vertAlign w:val="subscript"/>
    </w:rPr>
  </w:style>
  <w:style w:type="character" w:customStyle="1" w:styleId="Superscript">
    <w:name w:val="Superscript"/>
    <w:basedOn w:val="DefaultParagraphFont"/>
    <w:rsid w:val="000111B6"/>
    <w:rPr>
      <w:sz w:val="16"/>
      <w:vertAlign w:val="superscript"/>
    </w:rPr>
  </w:style>
  <w:style w:type="character" w:customStyle="1" w:styleId="Symbols">
    <w:name w:val="Symbols"/>
    <w:basedOn w:val="DefaultParagraphFont"/>
    <w:rsid w:val="000111B6"/>
    <w:rPr>
      <w:rFonts w:ascii="Symbol" w:hAnsi="Symbol"/>
    </w:rPr>
  </w:style>
  <w:style w:type="character" w:customStyle="1" w:styleId="MenuOptions">
    <w:name w:val="Menu Options"/>
    <w:basedOn w:val="DefaultParagraphFont"/>
    <w:rsid w:val="000111B6"/>
    <w:rPr>
      <w:rFonts w:ascii="Arial Narrow" w:hAnsi="Arial Narrow"/>
      <w:smallCaps/>
    </w:rPr>
  </w:style>
  <w:style w:type="character" w:customStyle="1" w:styleId="Buttons">
    <w:name w:val="Buttons"/>
    <w:basedOn w:val="DefaultParagraphFont"/>
    <w:rsid w:val="000111B6"/>
    <w:rPr>
      <w:b/>
    </w:rPr>
  </w:style>
  <w:style w:type="character" w:customStyle="1" w:styleId="Underlined">
    <w:name w:val="Underlined"/>
    <w:basedOn w:val="DefaultParagraphFont"/>
    <w:rsid w:val="000111B6"/>
    <w:rPr>
      <w:u w:val="single"/>
    </w:rPr>
  </w:style>
  <w:style w:type="paragraph" w:customStyle="1" w:styleId="TableBodyTextRight">
    <w:name w:val="Table Body Text Right"/>
    <w:basedOn w:val="TableBodyText"/>
    <w:rsid w:val="000111B6"/>
    <w:pPr>
      <w:widowControl w:val="0"/>
      <w:autoSpaceDE w:val="0"/>
      <w:autoSpaceDN w:val="0"/>
      <w:adjustRightInd w:val="0"/>
      <w:jc w:val="right"/>
    </w:pPr>
    <w:rPr>
      <w:rFonts w:cs="Arial"/>
      <w:szCs w:val="18"/>
    </w:rPr>
  </w:style>
  <w:style w:type="paragraph" w:customStyle="1" w:styleId="CopyrightText">
    <w:name w:val="Copyright Text"/>
    <w:basedOn w:val="BodyText"/>
    <w:rsid w:val="000111B6"/>
    <w:rPr>
      <w:sz w:val="18"/>
    </w:rPr>
  </w:style>
  <w:style w:type="paragraph" w:customStyle="1" w:styleId="BodySmallRight">
    <w:name w:val="Body Small Right"/>
    <w:basedOn w:val="BodyTextRight"/>
    <w:rsid w:val="000111B6"/>
    <w:rPr>
      <w:sz w:val="18"/>
      <w:szCs w:val="18"/>
    </w:rPr>
  </w:style>
  <w:style w:type="paragraph" w:customStyle="1" w:styleId="MarginEdition">
    <w:name w:val="Margin Edition"/>
    <w:basedOn w:val="MarginNote"/>
    <w:rsid w:val="000111B6"/>
    <w:pPr>
      <w:spacing w:before="0" w:after="0"/>
    </w:pPr>
    <w:rPr>
      <w:rFonts w:ascii="Times New Roman" w:hAnsi="Times New Roman"/>
      <w:color w:val="999999"/>
    </w:rPr>
  </w:style>
  <w:style w:type="paragraph" w:customStyle="1" w:styleId="Spacer">
    <w:name w:val="Spacer"/>
    <w:basedOn w:val="Normal"/>
    <w:rsid w:val="000111B6"/>
    <w:rPr>
      <w:sz w:val="2"/>
      <w:szCs w:val="2"/>
    </w:rPr>
  </w:style>
  <w:style w:type="character" w:customStyle="1" w:styleId="Small">
    <w:name w:val="Small"/>
    <w:basedOn w:val="DefaultParagraphFont"/>
    <w:rsid w:val="000111B6"/>
    <w:rPr>
      <w:sz w:val="16"/>
    </w:rPr>
  </w:style>
  <w:style w:type="paragraph" w:customStyle="1" w:styleId="WideTable">
    <w:name w:val="Wide Table"/>
    <w:basedOn w:val="Normal"/>
    <w:rsid w:val="000111B6"/>
    <w:pPr>
      <w:ind w:left="-1418"/>
    </w:pPr>
    <w:rPr>
      <w:sz w:val="2"/>
      <w:szCs w:val="2"/>
    </w:rPr>
  </w:style>
  <w:style w:type="character" w:styleId="PageNumber">
    <w:name w:val="page number"/>
    <w:basedOn w:val="DefaultParagraphFont"/>
    <w:rsid w:val="000111B6"/>
  </w:style>
  <w:style w:type="paragraph" w:styleId="Quote">
    <w:name w:val="Quote"/>
    <w:basedOn w:val="Heading1"/>
    <w:link w:val="QuoteChar"/>
    <w:qFormat/>
    <w:rsid w:val="000111B6"/>
    <w:rPr>
      <w:b w:val="0"/>
      <w:sz w:val="72"/>
      <w:szCs w:val="72"/>
      <w:lang w:val="en-NZ"/>
    </w:rPr>
  </w:style>
  <w:style w:type="character" w:customStyle="1" w:styleId="QuoteChar">
    <w:name w:val="Quote Char"/>
    <w:basedOn w:val="DefaultParagraphFont"/>
    <w:link w:val="Quote"/>
    <w:rsid w:val="00011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1B6"/>
    <w:pPr>
      <w:pageBreakBefore/>
    </w:pPr>
  </w:style>
  <w:style w:type="paragraph" w:customStyle="1" w:styleId="Border">
    <w:name w:val="Border"/>
    <w:basedOn w:val="Normal"/>
    <w:qFormat/>
    <w:rsid w:val="00011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1B6"/>
    <w:rPr>
      <w:b/>
      <w:bCs/>
      <w:i/>
      <w:iCs/>
      <w:color w:val="auto"/>
    </w:rPr>
  </w:style>
  <w:style w:type="paragraph" w:styleId="IntenseQuote">
    <w:name w:val="Intense Quote"/>
    <w:basedOn w:val="Normal"/>
    <w:next w:val="Normal"/>
    <w:link w:val="IntenseQuoteChar"/>
    <w:uiPriority w:val="30"/>
    <w:qFormat/>
    <w:rsid w:val="00011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1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1B6"/>
    <w:rPr>
      <w:smallCaps/>
      <w:color w:val="auto"/>
      <w:u w:val="single"/>
    </w:rPr>
  </w:style>
  <w:style w:type="character" w:styleId="IntenseReference">
    <w:name w:val="Intense Reference"/>
    <w:basedOn w:val="DefaultParagraphFont"/>
    <w:uiPriority w:val="32"/>
    <w:qFormat/>
    <w:rsid w:val="000111B6"/>
    <w:rPr>
      <w:b/>
      <w:bCs/>
      <w:smallCaps/>
      <w:color w:val="auto"/>
      <w:spacing w:val="5"/>
      <w:u w:val="single"/>
    </w:rPr>
  </w:style>
  <w:style w:type="paragraph" w:customStyle="1" w:styleId="2ColumnHeading">
    <w:name w:val="2Column Heading"/>
    <w:basedOn w:val="BodyText"/>
    <w:qFormat/>
    <w:rsid w:val="000111B6"/>
    <w:pPr>
      <w:spacing w:after="60"/>
      <w:ind w:left="-2268"/>
    </w:pPr>
    <w:rPr>
      <w:b/>
    </w:rPr>
  </w:style>
  <w:style w:type="paragraph" w:customStyle="1" w:styleId="Heading1TOC">
    <w:name w:val="Heading1 TOC"/>
    <w:basedOn w:val="Normal"/>
    <w:qFormat/>
    <w:rsid w:val="000111B6"/>
    <w:pPr>
      <w:spacing w:before="240" w:after="120"/>
    </w:pPr>
    <w:rPr>
      <w:rFonts w:ascii="Times New Roman" w:hAnsi="Times New Roman"/>
      <w:b/>
      <w:sz w:val="32"/>
    </w:rPr>
  </w:style>
  <w:style w:type="paragraph" w:customStyle="1" w:styleId="Heading2TOC">
    <w:name w:val="Heading2 TOC"/>
    <w:basedOn w:val="Normal"/>
    <w:qFormat/>
    <w:rsid w:val="000111B6"/>
    <w:pPr>
      <w:spacing w:before="240" w:after="60"/>
    </w:pPr>
    <w:rPr>
      <w:rFonts w:ascii="Times New Roman" w:hAnsi="Times New Roman"/>
      <w:b/>
      <w:sz w:val="28"/>
    </w:rPr>
  </w:style>
  <w:style w:type="character" w:customStyle="1" w:styleId="Underline">
    <w:name w:val="Underline"/>
    <w:basedOn w:val="DefaultParagraphFont"/>
    <w:qFormat/>
    <w:rsid w:val="000111B6"/>
    <w:rPr>
      <w:u w:val="single"/>
    </w:rPr>
  </w:style>
  <w:style w:type="character" w:customStyle="1" w:styleId="BoldandItalics">
    <w:name w:val="Bold and Italics"/>
    <w:qFormat/>
    <w:rsid w:val="000111B6"/>
    <w:rPr>
      <w:b/>
      <w:i/>
      <w:u w:val="none"/>
    </w:rPr>
  </w:style>
  <w:style w:type="paragraph" w:styleId="BalloonText">
    <w:name w:val="Balloon Text"/>
    <w:basedOn w:val="Normal"/>
    <w:link w:val="BalloonTextChar"/>
    <w:rsid w:val="000111B6"/>
    <w:rPr>
      <w:rFonts w:ascii="Tahoma" w:hAnsi="Tahoma" w:cs="Tahoma"/>
      <w:sz w:val="16"/>
      <w:szCs w:val="16"/>
    </w:rPr>
  </w:style>
  <w:style w:type="character" w:customStyle="1" w:styleId="BalloonTextChar">
    <w:name w:val="Balloon Text Char"/>
    <w:basedOn w:val="DefaultParagraphFont"/>
    <w:link w:val="BalloonText"/>
    <w:rsid w:val="000111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1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11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1B6"/>
    <w:rPr>
      <w:b/>
      <w:color w:val="660033"/>
      <w:spacing w:val="0"/>
    </w:rPr>
  </w:style>
  <w:style w:type="paragraph" w:customStyle="1" w:styleId="Nameditemlist">
    <w:name w:val="Named item list"/>
    <w:basedOn w:val="BodyText"/>
    <w:qFormat/>
    <w:rsid w:val="000111B6"/>
    <w:pPr>
      <w:tabs>
        <w:tab w:val="left" w:pos="2835"/>
      </w:tabs>
      <w:ind w:left="2835" w:hanging="2835"/>
    </w:pPr>
  </w:style>
  <w:style w:type="paragraph" w:customStyle="1" w:styleId="BodyTextnopadding">
    <w:name w:val="Body Text no padding"/>
    <w:basedOn w:val="BodyText"/>
    <w:qFormat/>
    <w:rsid w:val="000111B6"/>
    <w:pPr>
      <w:spacing w:before="0" w:after="0"/>
    </w:pPr>
  </w:style>
  <w:style w:type="paragraph" w:customStyle="1" w:styleId="BodyTextBold">
    <w:name w:val="Body Text Bold"/>
    <w:basedOn w:val="BodyText"/>
    <w:qFormat/>
    <w:rsid w:val="000111B6"/>
    <w:rPr>
      <w:b/>
    </w:rPr>
  </w:style>
  <w:style w:type="character" w:styleId="Hyperlink">
    <w:name w:val="Hyperlink"/>
    <w:basedOn w:val="DefaultParagraphFont"/>
    <w:uiPriority w:val="99"/>
    <w:unhideWhenUsed/>
    <w:rsid w:val="002128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3763</Characters>
  <Application>Microsoft Office Word</Application>
  <DocSecurity>0</DocSecurity>
  <Lines>114</Lines>
  <Paragraphs>65</Paragraphs>
  <ScaleCrop>false</ScaleCrop>
  <Company>Author-it Software Corporation Ltd.</Company>
  <LinksUpToDate>false</LinksUpToDate>
  <CharactersWithSpaces>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SISFFIT052 Provide healthy eating information</dc:title>
  <dc:subject>Approved</dc:subject>
  <dc:creator>SkillsIQ</dc:creator>
  <cp:keywords>Release: 1</cp:keywords>
  <dc:description>Review Date: 12 April 2008</dc:description>
  <cp:lastModifiedBy>HSD_TPCMSd.prod</cp:lastModifiedBy>
  <cp:revision>3</cp:revision>
  <dcterms:created xsi:type="dcterms:W3CDTF">2022-12-13T01:47:00Z</dcterms:created>
  <dcterms:modified xsi:type="dcterms:W3CDTF">2022-12-13T01:47:00Z</dcterms:modified>
</cp:coreProperties>
</file>