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7C9" w:rsidP="00465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SISFFIT052 Provide healthy eating information</w:t>
      </w:r>
      <w:r>
        <w:fldChar w:fldCharType="end"/>
      </w:r>
    </w:p>
    <w:p w:rsidR="004657C9" w:rsidP="004657C9">
      <w:pPr>
        <w:pStyle w:val="Version"/>
        <w:sectPr w:rsidSect="00BA4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7F9" w:rsidP="00BA47F9">
      <w:pPr>
        <w:pStyle w:val="SuperHeading"/>
      </w:pPr>
      <w:r w:rsidRPr="00BA47F9">
        <w:t>Assessment Requirements for SISFFIT052 Provide healthy eating information</w:t>
      </w:r>
    </w:p>
    <w:p w:rsidR="00000000" w:rsidRPr="00BA47F9" w:rsidP="00BA47F9">
      <w:pPr>
        <w:pStyle w:val="Heading1"/>
      </w:pPr>
      <w:bookmarkStart w:id="1" w:name="O_1198037"/>
      <w:bookmarkEnd w:id="1"/>
      <w:r w:rsidRPr="00BA47F9">
        <w:t>Modification History</w:t>
      </w:r>
    </w:p>
    <w:p w:rsidR="00000000" w:rsidRPr="00BA47F9" w:rsidP="004657C9">
      <w:pPr>
        <w:pStyle w:val="BodyText"/>
      </w:pPr>
      <w:r w:rsidRPr="00BA47F9">
        <w:t>Supersedes and is not equivalent to SISFFIT005 Provide healthy eating information.</w:t>
      </w:r>
    </w:p>
    <w:p w:rsidR="00000000" w:rsidRPr="00BA47F9" w:rsidP="00BA47F9">
      <w:pPr>
        <w:pStyle w:val="Heading1"/>
      </w:pPr>
      <w:bookmarkStart w:id="2" w:name="O_1198038"/>
      <w:bookmarkEnd w:id="2"/>
      <w:r w:rsidRPr="00BA47F9">
        <w:t>Performance Evidence</w:t>
      </w:r>
    </w:p>
    <w:p w:rsidR="00000000" w:rsidRPr="00BA47F9" w:rsidP="004657C9">
      <w:pPr>
        <w:pStyle w:val="BodyText"/>
      </w:pPr>
      <w:r w:rsidRPr="00BA47F9">
        <w:t>Evidence of the ability to complete tasks outlined in elements and performance criteria of this unit in the context of the job role, and:</w:t>
      </w:r>
    </w:p>
    <w:p w:rsidR="00000000" w:rsidRPr="00BA47F9" w:rsidP="00BA47F9">
      <w:pPr>
        <w:pStyle w:val="ListBullet"/>
      </w:pPr>
      <w:r w:rsidRPr="00BA47F9">
        <w:t>provide healthy eating information from the Australian national dietary guidelines to three clients and include infor</w:t>
      </w:r>
      <w:r w:rsidRPr="00BA47F9">
        <w:t>mation about:</w:t>
      </w:r>
    </w:p>
    <w:p w:rsidR="00000000" w:rsidRPr="00BA47F9" w:rsidP="00BA47F9">
      <w:pPr>
        <w:pStyle w:val="ListBullet2"/>
      </w:pPr>
      <w:r w:rsidRPr="00BA47F9">
        <w:t>the five food groups and their recommended proportional daily intakes</w:t>
      </w:r>
    </w:p>
    <w:p w:rsidR="00000000" w:rsidRPr="00BA47F9" w:rsidP="00BA47F9">
      <w:pPr>
        <w:pStyle w:val="ListBullet2"/>
      </w:pPr>
      <w:r w:rsidRPr="00BA47F9">
        <w:t>discretionary foods that should be eaten only sometimes and in small amounts</w:t>
      </w:r>
    </w:p>
    <w:p w:rsidR="00000000" w:rsidRPr="00BA47F9" w:rsidP="00BA47F9">
      <w:pPr>
        <w:pStyle w:val="ListBullet"/>
      </w:pPr>
      <w:r w:rsidRPr="00BA47F9">
        <w:t>according to actual client interactions or case studies:</w:t>
      </w:r>
    </w:p>
    <w:p w:rsidR="00000000" w:rsidRPr="00BA47F9" w:rsidP="00BA47F9">
      <w:pPr>
        <w:pStyle w:val="ListBullet2"/>
      </w:pPr>
      <w:r w:rsidRPr="00BA47F9">
        <w:t>identify three situations outside s</w:t>
      </w:r>
      <w:r w:rsidRPr="00BA47F9">
        <w:t>cope of own practice for providing nutrition advice</w:t>
      </w:r>
    </w:p>
    <w:p w:rsidR="00000000" w:rsidRPr="00BA47F9" w:rsidP="00BA47F9">
      <w:pPr>
        <w:pStyle w:val="ListBullet2"/>
      </w:pPr>
      <w:r w:rsidRPr="00BA47F9">
        <w:t>for each above situation:</w:t>
      </w:r>
    </w:p>
    <w:p w:rsidR="00000000" w:rsidRPr="00BA47F9" w:rsidP="00BA47F9">
      <w:pPr>
        <w:pStyle w:val="ListBullet3"/>
      </w:pPr>
      <w:r w:rsidRPr="00BA47F9">
        <w:t>advise client why their nutrition needs are outside scope of own role</w:t>
      </w:r>
    </w:p>
    <w:p w:rsidR="00000000" w:rsidRPr="00BA47F9" w:rsidP="00BA47F9">
      <w:pPr>
        <w:pStyle w:val="ListBullet3"/>
      </w:pPr>
      <w:r w:rsidRPr="00BA47F9">
        <w:t>provide information about the type of medical or allied health professional with relevant expertise.</w:t>
      </w:r>
    </w:p>
    <w:p w:rsidR="00000000" w:rsidRPr="00BA47F9" w:rsidP="00BA47F9">
      <w:pPr>
        <w:pStyle w:val="AllowPageBreak"/>
      </w:pPr>
    </w:p>
    <w:p w:rsidR="00000000" w:rsidRPr="00BA47F9" w:rsidP="00BA47F9">
      <w:pPr>
        <w:pStyle w:val="Heading1"/>
      </w:pPr>
      <w:bookmarkStart w:id="3" w:name="O_1198039"/>
      <w:bookmarkEnd w:id="3"/>
      <w:r w:rsidRPr="00BA47F9">
        <w:t>Knowledge Evidence</w:t>
      </w:r>
    </w:p>
    <w:p w:rsidR="00000000" w:rsidRPr="00BA47F9" w:rsidP="004657C9">
      <w:pPr>
        <w:pStyle w:val="BodyText"/>
      </w:pPr>
      <w:r w:rsidRPr="00BA47F9">
        <w:t>Demonstrated knowledge required to complete the tasks outlined in elements and performance criteria of this unit:</w:t>
      </w:r>
    </w:p>
    <w:p w:rsidR="00000000" w:rsidRPr="00BA47F9" w:rsidP="00BA47F9">
      <w:pPr>
        <w:pStyle w:val="ListBullet"/>
      </w:pPr>
      <w:r w:rsidRPr="00BA47F9">
        <w:t xml:space="preserve">roles of medical and allied health professionals in providing nutritional advice and their expertise in </w:t>
      </w:r>
      <w:r w:rsidRPr="00BA47F9">
        <w:t>addressing different needs:</w:t>
      </w:r>
    </w:p>
    <w:p w:rsidR="00000000" w:rsidRPr="00BA47F9" w:rsidP="00BA47F9">
      <w:pPr>
        <w:pStyle w:val="ListBullet2"/>
      </w:pPr>
      <w:r w:rsidRPr="00BA47F9">
        <w:t>accredited practising dietitians (APD)</w:t>
      </w:r>
    </w:p>
    <w:p w:rsidR="00000000" w:rsidRPr="00BA47F9" w:rsidP="00BA47F9">
      <w:pPr>
        <w:pStyle w:val="ListBullet2"/>
      </w:pPr>
      <w:r w:rsidRPr="00BA47F9">
        <w:t>accredited sports dietitians (AccSD)</w:t>
      </w:r>
    </w:p>
    <w:p w:rsidR="00000000" w:rsidRPr="00BA47F9" w:rsidP="00BA47F9">
      <w:pPr>
        <w:pStyle w:val="ListBullet2"/>
      </w:pPr>
      <w:r w:rsidRPr="00BA47F9">
        <w:t>general practitioners</w:t>
      </w:r>
    </w:p>
    <w:p w:rsidR="00000000" w:rsidRPr="00BA47F9" w:rsidP="00BA47F9">
      <w:pPr>
        <w:pStyle w:val="ListBullet"/>
      </w:pPr>
      <w:r w:rsidRPr="00BA47F9">
        <w:t>differences and similarities between the roles and skills of dietitians and nutritionists</w:t>
      </w:r>
    </w:p>
    <w:p w:rsidR="00000000" w:rsidRPr="00BA47F9" w:rsidP="00BA47F9">
      <w:pPr>
        <w:pStyle w:val="ListBullet"/>
      </w:pPr>
      <w:r w:rsidRPr="00BA47F9">
        <w:t>common consumer expectations of fitness instructors to provide nutrition and weight management advice, and:</w:t>
      </w:r>
    </w:p>
    <w:p w:rsidR="00000000" w:rsidRPr="00BA47F9" w:rsidP="00BA47F9">
      <w:pPr>
        <w:pStyle w:val="ListBullet2"/>
      </w:pPr>
      <w:r w:rsidRPr="00BA47F9">
        <w:t>purpose and content of established industry guidelines for scope of practice for fitness instructors in providing nutrition advice</w:t>
      </w:r>
    </w:p>
    <w:p w:rsidR="00000000" w:rsidRPr="00BA47F9" w:rsidP="00BA47F9">
      <w:pPr>
        <w:pStyle w:val="ListBullet2"/>
      </w:pPr>
      <w:r w:rsidRPr="00BA47F9">
        <w:t>own role and lim</w:t>
      </w:r>
      <w:r w:rsidRPr="00BA47F9">
        <w:t>itations in providing nutritional advice to clients</w:t>
      </w:r>
    </w:p>
    <w:p w:rsidR="00000000" w:rsidRPr="00BA47F9" w:rsidP="00BA47F9">
      <w:pPr>
        <w:pStyle w:val="ListBullet2"/>
      </w:pPr>
      <w:r w:rsidRPr="00BA47F9">
        <w:t>techniques used to positively communicate with clients about scope of own role and knowledge</w:t>
      </w:r>
    </w:p>
    <w:p w:rsidR="00000000" w:rsidRPr="00BA47F9" w:rsidP="00BA47F9">
      <w:pPr>
        <w:pStyle w:val="ListBullet2"/>
      </w:pPr>
      <w:r w:rsidRPr="00BA47F9">
        <w:t>how industry guidelines assist fitness instructors to appropriately respond to client enquiries outside their s</w:t>
      </w:r>
      <w:r w:rsidRPr="00BA47F9">
        <w:t>cope of practice</w:t>
      </w:r>
    </w:p>
    <w:p w:rsidR="00000000" w:rsidRPr="00BA47F9" w:rsidP="00BA47F9">
      <w:pPr>
        <w:pStyle w:val="ListBullet"/>
      </w:pPr>
      <w:r w:rsidRPr="00BA47F9">
        <w:t>opportunities for fitness instructors to promote and support healthy eating with clients</w:t>
      </w:r>
    </w:p>
    <w:p w:rsidR="00000000" w:rsidRPr="00BA47F9" w:rsidP="00BA47F9">
      <w:pPr>
        <w:pStyle w:val="ListBullet"/>
      </w:pPr>
      <w:r w:rsidRPr="00BA47F9">
        <w:t>how nutritional needs differ for special population clients, and characteristics of clients who require nutrition advice beyond fitness instructor sc</w:t>
      </w:r>
      <w:r w:rsidRPr="00BA47F9">
        <w:t>ope of practice:</w:t>
      </w:r>
    </w:p>
    <w:p w:rsidR="00000000" w:rsidRPr="00BA47F9" w:rsidP="00BA47F9">
      <w:pPr>
        <w:pStyle w:val="ListBullet2"/>
      </w:pPr>
      <w:r w:rsidRPr="00BA47F9">
        <w:t>those with chronic conditions</w:t>
      </w:r>
    </w:p>
    <w:p w:rsidR="00000000" w:rsidRPr="00BA47F9" w:rsidP="00BA47F9">
      <w:pPr>
        <w:pStyle w:val="ListBullet2"/>
      </w:pPr>
      <w:r w:rsidRPr="00BA47F9">
        <w:t>the frail elderly</w:t>
      </w:r>
    </w:p>
    <w:p w:rsidR="00000000" w:rsidRPr="00BA47F9" w:rsidP="00BA47F9">
      <w:pPr>
        <w:pStyle w:val="ListBullet2"/>
      </w:pPr>
      <w:r w:rsidRPr="00BA47F9">
        <w:t>pregnant and breastfeeding women</w:t>
      </w:r>
    </w:p>
    <w:p w:rsidR="00000000" w:rsidRPr="00BA47F9" w:rsidP="00BA47F9">
      <w:pPr>
        <w:pStyle w:val="ListBullet2"/>
      </w:pPr>
      <w:r w:rsidRPr="00BA47F9">
        <w:t>clients who show signs of having an eating disorder as identified in established industry guidelines</w:t>
      </w:r>
    </w:p>
    <w:p w:rsidR="00000000" w:rsidRPr="00BA47F9" w:rsidP="00BA47F9">
      <w:pPr>
        <w:pStyle w:val="ListBullet2"/>
      </w:pPr>
      <w:r w:rsidRPr="00BA47F9">
        <w:t>any client seeking individualised information outside th</w:t>
      </w:r>
      <w:r w:rsidRPr="00BA47F9">
        <w:t>e scope of the population level recommendations in national dietary guidelines</w:t>
      </w:r>
    </w:p>
    <w:p w:rsidR="00000000" w:rsidRPr="00BA47F9" w:rsidP="00BA47F9">
      <w:pPr>
        <w:pStyle w:val="ListBullet"/>
      </w:pPr>
      <w:r w:rsidRPr="00BA47F9">
        <w:t>risks to clients of fitness instructors providing nutrition-related advice outside scope of practice:</w:t>
      </w:r>
    </w:p>
    <w:p w:rsidR="00000000" w:rsidRPr="00BA47F9" w:rsidP="00BA47F9">
      <w:pPr>
        <w:pStyle w:val="ListBullet2"/>
      </w:pPr>
      <w:r w:rsidRPr="00BA47F9">
        <w:t>nutrient deficiencies and imbalances</w:t>
      </w:r>
    </w:p>
    <w:p w:rsidR="00000000" w:rsidRPr="00BA47F9" w:rsidP="00BA47F9">
      <w:pPr>
        <w:pStyle w:val="ListBullet2"/>
      </w:pPr>
      <w:r w:rsidRPr="00BA47F9">
        <w:t>exposure to low e</w:t>
      </w:r>
      <w:r w:rsidRPr="00BA47F9">
        <w:t>nergy availability (LEA) and overview of LEA impacts</w:t>
      </w:r>
    </w:p>
    <w:p w:rsidR="00000000" w:rsidRPr="00BA47F9" w:rsidP="00BA47F9">
      <w:pPr>
        <w:pStyle w:val="ListBullet2"/>
      </w:pPr>
      <w:r w:rsidRPr="00BA47F9">
        <w:t>negative impact on existing health conditions</w:t>
      </w:r>
    </w:p>
    <w:p w:rsidR="00000000" w:rsidRPr="00BA47F9" w:rsidP="00BA47F9">
      <w:pPr>
        <w:pStyle w:val="ListBullet2"/>
      </w:pPr>
      <w:r w:rsidRPr="00BA47F9">
        <w:t>food intolerance and allergy adverse reactions</w:t>
      </w:r>
    </w:p>
    <w:p w:rsidR="00000000" w:rsidRPr="00BA47F9" w:rsidP="00BA47F9">
      <w:pPr>
        <w:pStyle w:val="ListBullet2"/>
      </w:pPr>
      <w:r w:rsidRPr="00BA47F9">
        <w:t>negative food-drug interactions</w:t>
      </w:r>
    </w:p>
    <w:p w:rsidR="00000000" w:rsidRPr="00BA47F9" w:rsidP="00BA47F9">
      <w:pPr>
        <w:pStyle w:val="ListBullet2"/>
      </w:pPr>
      <w:r w:rsidRPr="00BA47F9">
        <w:t>nutrition confusion</w:t>
      </w:r>
    </w:p>
    <w:p w:rsidR="00000000" w:rsidRPr="00BA47F9" w:rsidP="00BA47F9">
      <w:pPr>
        <w:pStyle w:val="ListBullet2"/>
      </w:pPr>
      <w:r w:rsidRPr="00BA47F9">
        <w:t>financial burden of product recommendations</w:t>
      </w:r>
    </w:p>
    <w:p w:rsidR="00000000" w:rsidRPr="00BA47F9" w:rsidP="00BA47F9">
      <w:pPr>
        <w:pStyle w:val="ListBullet"/>
      </w:pPr>
      <w:r w:rsidRPr="00BA47F9">
        <w:t>risks to fitn</w:t>
      </w:r>
      <w:r w:rsidRPr="00BA47F9">
        <w:t>ess instructors of providing nutrition-related advice outside scope of practice, specifically the potential professional, legal and financial consequences</w:t>
      </w:r>
    </w:p>
    <w:p w:rsidR="00000000" w:rsidRPr="00BA47F9" w:rsidP="00BA47F9">
      <w:pPr>
        <w:pStyle w:val="ListBullet"/>
      </w:pPr>
      <w:r w:rsidRPr="00BA47F9">
        <w:t>key contents of current Australian national dietary guidelines and associated resources:</w:t>
      </w:r>
    </w:p>
    <w:p w:rsidR="00000000" w:rsidRPr="00BA47F9" w:rsidP="00BA47F9">
      <w:pPr>
        <w:pStyle w:val="ListBullet2"/>
      </w:pPr>
      <w:r w:rsidRPr="00BA47F9">
        <w:t>the princip</w:t>
      </w:r>
      <w:r w:rsidRPr="00BA47F9">
        <w:t>al recommendations and guidelines</w:t>
      </w:r>
    </w:p>
    <w:p w:rsidR="00000000" w:rsidRPr="00BA47F9" w:rsidP="00BA47F9">
      <w:pPr>
        <w:pStyle w:val="ListBullet2"/>
      </w:pPr>
      <w:r w:rsidRPr="00BA47F9">
        <w:t>characteristics and examples of types of foods in the five food groups</w:t>
      </w:r>
    </w:p>
    <w:p w:rsidR="00000000" w:rsidRPr="00BA47F9" w:rsidP="00BA47F9">
      <w:pPr>
        <w:pStyle w:val="ListBullet2"/>
      </w:pPr>
      <w:r w:rsidRPr="00BA47F9">
        <w:t>proportions of the five food groups recommended for consumption each day</w:t>
      </w:r>
    </w:p>
    <w:p w:rsidR="00000000" w:rsidRPr="00BA47F9" w:rsidP="00BA47F9">
      <w:pPr>
        <w:pStyle w:val="ListBullet2"/>
      </w:pPr>
      <w:r w:rsidRPr="00BA47F9">
        <w:t>characteristics and examples of discretionary foods to be avoided</w:t>
      </w:r>
    </w:p>
    <w:p w:rsidR="00000000" w:rsidRPr="00BA47F9" w:rsidP="00BA47F9">
      <w:pPr>
        <w:pStyle w:val="ListBullet"/>
      </w:pPr>
      <w:r w:rsidRPr="00BA47F9">
        <w:t>healthy eat</w:t>
      </w:r>
      <w:r w:rsidRPr="00BA47F9">
        <w:t>ing:</w:t>
      </w:r>
    </w:p>
    <w:p w:rsidR="00000000" w:rsidRPr="00BA47F9" w:rsidP="00BA47F9">
      <w:pPr>
        <w:pStyle w:val="ListBullet2"/>
      </w:pPr>
      <w:r w:rsidRPr="00BA47F9">
        <w:t>benefits of healthy eating</w:t>
      </w:r>
    </w:p>
    <w:p w:rsidR="00000000" w:rsidRPr="00BA47F9" w:rsidP="00BA47F9">
      <w:pPr>
        <w:pStyle w:val="ListBullet2"/>
      </w:pPr>
      <w:r w:rsidRPr="00BA47F9">
        <w:t>relationship to physical wellbeing</w:t>
      </w:r>
    </w:p>
    <w:p w:rsidR="00000000" w:rsidRPr="00BA47F9" w:rsidP="00BA47F9">
      <w:pPr>
        <w:pStyle w:val="ListBullet2"/>
      </w:pPr>
      <w:r w:rsidRPr="00BA47F9">
        <w:t>how healthy eating can impact on client health and fitness goals and outcomes</w:t>
      </w:r>
    </w:p>
    <w:p w:rsidR="00000000" w:rsidRPr="00BA47F9" w:rsidP="00BA47F9">
      <w:pPr>
        <w:pStyle w:val="ListBullet2"/>
      </w:pPr>
      <w:r w:rsidRPr="00BA47F9">
        <w:t>the role of healthy eating in a fitness program and basic aspects of how nutrition and exercise interrelate</w:t>
      </w:r>
    </w:p>
    <w:p w:rsidR="00000000" w:rsidRPr="00BA47F9" w:rsidP="00BA47F9">
      <w:pPr>
        <w:pStyle w:val="ListBullet"/>
      </w:pPr>
      <w:r w:rsidRPr="00BA47F9">
        <w:t>potential impacts of unhealthy food choices and eating patterns on general health and wellbeing and:</w:t>
      </w:r>
    </w:p>
    <w:p w:rsidR="00000000" w:rsidRPr="00BA47F9" w:rsidP="00BA47F9">
      <w:pPr>
        <w:pStyle w:val="ListBullet2"/>
      </w:pPr>
      <w:r w:rsidRPr="00BA47F9">
        <w:t>diet-related risk factors for chronic disease, including high cholesterol, high blood pressure and obesity</w:t>
      </w:r>
    </w:p>
    <w:p w:rsidR="00000000" w:rsidRPr="00BA47F9" w:rsidP="00BA47F9">
      <w:pPr>
        <w:pStyle w:val="ListBullet2"/>
      </w:pPr>
      <w:r w:rsidRPr="00BA47F9">
        <w:t>risk of chronic diseases including type 2 diabe</w:t>
      </w:r>
      <w:r w:rsidRPr="00BA47F9">
        <w:t>tes, cardiovascular disease and some types of cancers</w:t>
      </w:r>
    </w:p>
    <w:p w:rsidR="00000000" w:rsidRPr="00BA47F9" w:rsidP="00BA47F9">
      <w:pPr>
        <w:pStyle w:val="ListBullet"/>
      </w:pPr>
      <w:r w:rsidRPr="00BA47F9">
        <w:t>effects of cultural and social influences on food choices.</w:t>
      </w:r>
    </w:p>
    <w:p w:rsidR="00000000" w:rsidRPr="00BA47F9" w:rsidP="00BA47F9">
      <w:pPr>
        <w:pStyle w:val="AllowPageBreak"/>
      </w:pPr>
    </w:p>
    <w:p w:rsidR="00000000" w:rsidRPr="00BA47F9" w:rsidP="00BA47F9">
      <w:pPr>
        <w:pStyle w:val="Heading1"/>
      </w:pPr>
      <w:bookmarkStart w:id="4" w:name="O_1198040"/>
      <w:bookmarkEnd w:id="4"/>
      <w:r w:rsidRPr="00BA47F9">
        <w:t>Assessment Conditions</w:t>
      </w:r>
    </w:p>
    <w:p w:rsidR="00000000" w:rsidRPr="00BA47F9" w:rsidP="004657C9">
      <w:pPr>
        <w:pStyle w:val="BodyText"/>
      </w:pPr>
      <w:r w:rsidRPr="00BA47F9">
        <w:t>Skills can be demonstrated in:</w:t>
      </w:r>
    </w:p>
    <w:p w:rsidR="00000000" w:rsidRPr="00BA47F9" w:rsidP="00BA47F9">
      <w:pPr>
        <w:pStyle w:val="ListBullet"/>
      </w:pPr>
      <w:r w:rsidRPr="00BA47F9">
        <w:t>the workplace, or</w:t>
      </w:r>
    </w:p>
    <w:p w:rsidR="00000000" w:rsidRPr="00BA47F9" w:rsidP="00BA47F9">
      <w:pPr>
        <w:pStyle w:val="ListBullet"/>
      </w:pPr>
      <w:r w:rsidRPr="00BA47F9">
        <w:t>a simulated workplace set up for the purpose of ski</w:t>
      </w:r>
      <w:r w:rsidRPr="00BA47F9">
        <w:t>lls assessment.</w:t>
      </w:r>
    </w:p>
    <w:p w:rsidR="00000000" w:rsidRPr="00BA47F9" w:rsidP="004657C9">
      <w:pPr>
        <w:pStyle w:val="BodyText"/>
      </w:pPr>
      <w:r w:rsidRPr="00BA47F9">
        <w:t>Assessment must ensure use of:</w:t>
      </w:r>
    </w:p>
    <w:p w:rsidR="00000000" w:rsidRPr="00BA47F9" w:rsidP="00BA47F9">
      <w:pPr>
        <w:pStyle w:val="ListBullet"/>
      </w:pPr>
      <w:r w:rsidRPr="00BA47F9">
        <w:t>interaction with clients; these can be:</w:t>
      </w:r>
    </w:p>
    <w:p w:rsidR="00000000" w:rsidRPr="00BA47F9" w:rsidP="00BA47F9">
      <w:pPr>
        <w:pStyle w:val="ListBullet2"/>
      </w:pPr>
      <w:r w:rsidRPr="00BA47F9">
        <w:t>clients in an industry workplace, or</w:t>
      </w:r>
    </w:p>
    <w:p w:rsidR="00000000" w:rsidRPr="00BA47F9" w:rsidP="00BA47F9">
      <w:pPr>
        <w:pStyle w:val="ListBullet2"/>
      </w:pPr>
      <w:r w:rsidRPr="00BA47F9">
        <w:t>individuals who participate in simulated activities used for the purpose of skills assessment</w:t>
      </w:r>
    </w:p>
    <w:p w:rsidR="00000000" w:rsidRPr="00BA47F9" w:rsidP="00BA47F9">
      <w:pPr>
        <w:pStyle w:val="ListBullet"/>
      </w:pPr>
      <w:r w:rsidRPr="00BA47F9">
        <w:t>established fitness industry guidelines for providing nutrition advice within scope of practice for fitness instructors</w:t>
      </w:r>
    </w:p>
    <w:p w:rsidR="00000000" w:rsidRPr="00BA47F9" w:rsidP="00BA47F9">
      <w:pPr>
        <w:pStyle w:val="ListBullet"/>
      </w:pPr>
      <w:r w:rsidRPr="00BA47F9">
        <w:t>current Australian national dietary guidelines and associated resources:</w:t>
      </w:r>
    </w:p>
    <w:p w:rsidR="00000000" w:rsidRPr="00BA47F9" w:rsidP="00BA47F9">
      <w:pPr>
        <w:pStyle w:val="ListBullet2"/>
      </w:pPr>
      <w:r w:rsidRPr="00BA47F9">
        <w:t>the principal recommendations and guidelines</w:t>
      </w:r>
    </w:p>
    <w:p w:rsidR="00000000" w:rsidRPr="00BA47F9" w:rsidP="00BA47F9">
      <w:pPr>
        <w:pStyle w:val="ListBullet2"/>
      </w:pPr>
      <w:r w:rsidRPr="00BA47F9">
        <w:t>guides to healthy</w:t>
      </w:r>
      <w:r w:rsidRPr="00BA47F9">
        <w:t xml:space="preserve"> eating</w:t>
      </w:r>
    </w:p>
    <w:p w:rsidR="00000000" w:rsidRPr="00BA47F9" w:rsidP="00BA47F9">
      <w:pPr>
        <w:pStyle w:val="ListBullet2"/>
      </w:pPr>
      <w:r w:rsidRPr="00BA47F9">
        <w:t>consumer brochures.</w:t>
      </w:r>
    </w:p>
    <w:p w:rsidR="00000000" w:rsidRPr="00BA47F9" w:rsidP="004657C9">
      <w:pPr>
        <w:pStyle w:val="BodyText"/>
      </w:pPr>
      <w:r w:rsidRPr="00BA47F9">
        <w:t>Assessors must:</w:t>
      </w:r>
    </w:p>
    <w:p w:rsidR="00000000" w:rsidRPr="00BA47F9" w:rsidP="00BA47F9">
      <w:pPr>
        <w:pStyle w:val="ListBullet"/>
      </w:pPr>
      <w:r w:rsidRPr="00BA47F9">
        <w:t>satisfy the Standards for Registered Training Organisations requirements for assessors, and</w:t>
      </w:r>
    </w:p>
    <w:p w:rsidR="00000000" w:rsidRPr="00BA47F9" w:rsidP="00BA47F9">
      <w:pPr>
        <w:pStyle w:val="ListBullet"/>
      </w:pPr>
      <w:r w:rsidRPr="00BA47F9">
        <w:t>hold a Certificate III or IV in Fitness, and have a collective period of at least two years’ experience working in fitn</w:t>
      </w:r>
      <w:r w:rsidRPr="00BA47F9">
        <w:t>ess instruction, where they have applied the skills and knowledge covered in this unit of competency; the two years’ experience can incorporate full and part time experience, or</w:t>
      </w:r>
    </w:p>
    <w:p w:rsidR="00000000" w:rsidRPr="00BA47F9" w:rsidP="00BA47F9">
      <w:pPr>
        <w:pStyle w:val="ListBullet"/>
      </w:pPr>
      <w:r w:rsidRPr="00BA47F9">
        <w:t>be a registered or accredited practising dietitian, sports dietitian, health o</w:t>
      </w:r>
      <w:r w:rsidRPr="00BA47F9">
        <w:t>r exercise professional with a degree and experience relevant to this unit of competency.</w:t>
      </w:r>
    </w:p>
    <w:p w:rsidR="00000000" w:rsidRPr="00BA47F9" w:rsidP="00BA47F9">
      <w:pPr>
        <w:pStyle w:val="AllowPageBreak"/>
      </w:pPr>
    </w:p>
    <w:p w:rsidR="00000000" w:rsidRPr="00BA47F9" w:rsidP="00BA47F9">
      <w:pPr>
        <w:pStyle w:val="Heading1"/>
      </w:pPr>
      <w:bookmarkStart w:id="5" w:name="O_1198043"/>
      <w:bookmarkEnd w:id="5"/>
      <w:r w:rsidRPr="00BA47F9">
        <w:t>Links</w:t>
      </w:r>
    </w:p>
    <w:p w:rsidR="00000000" w:rsidRPr="00BA47F9" w:rsidP="004657C9">
      <w:pPr>
        <w:pStyle w:val="BodyText"/>
      </w:pPr>
      <w:r w:rsidRPr="00BA47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E08A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47F9" w:rsidP="00BA47F9"/>
    <w:sectPr w:rsidSect="00BA4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F9" w:rsidRPr="004657C9" w:rsidP="00465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9" w:rsidP="00BA4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7C9" w:rsidP="00BA4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7C9" w:rsidP="00BA4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7F9" w:rsidRPr="004657C9" w:rsidP="00465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9" w:rsidRPr="002D2AF8" w:rsidP="00BA4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SISFFIT052 Provide healthy eating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657C9" w:rsidP="00BA4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CCD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40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ED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7F9"/>
  </w:style>
  <w:style w:type="character" w:customStyle="1" w:styleId="Heading1Char">
    <w:name w:val="Heading 1 Char"/>
    <w:basedOn w:val="DefaultParagraphFont"/>
    <w:link w:val="Heading1"/>
    <w:rsid w:val="00BA4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7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7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47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4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7F9"/>
    <w:rPr>
      <w:b/>
      <w:spacing w:val="0"/>
    </w:rPr>
  </w:style>
  <w:style w:type="paragraph" w:customStyle="1" w:styleId="SuperTitle">
    <w:name w:val="SuperTitle"/>
    <w:basedOn w:val="Title"/>
    <w:rsid w:val="00BA4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7F9"/>
    <w:rPr>
      <w:i/>
    </w:rPr>
  </w:style>
  <w:style w:type="paragraph" w:styleId="Caption">
    <w:name w:val="caption"/>
    <w:basedOn w:val="BodyText"/>
    <w:next w:val="Normal"/>
    <w:qFormat/>
    <w:rsid w:val="00BA4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7F9"/>
  </w:style>
  <w:style w:type="paragraph" w:styleId="TableofFigures">
    <w:name w:val="table of figures"/>
    <w:basedOn w:val="Normal"/>
    <w:next w:val="Normal"/>
    <w:semiHidden/>
    <w:rsid w:val="00BA4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7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47F9"/>
    <w:rPr>
      <w:rFonts w:ascii="Wingdings" w:hAnsi="Wingdings"/>
    </w:rPr>
  </w:style>
  <w:style w:type="paragraph" w:customStyle="1" w:styleId="TableHeading">
    <w:name w:val="Table Heading"/>
    <w:basedOn w:val="HeadingBase"/>
    <w:rsid w:val="00BA4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7F9"/>
    <w:rPr>
      <w:color w:val="0033CC"/>
      <w:u w:val="none"/>
    </w:rPr>
  </w:style>
  <w:style w:type="paragraph" w:customStyle="1" w:styleId="BodyTextRight">
    <w:name w:val="Body Text Right"/>
    <w:basedOn w:val="BodyText"/>
    <w:rsid w:val="00BA4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7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7F9"/>
    <w:rPr>
      <w:sz w:val="32"/>
    </w:rPr>
  </w:style>
  <w:style w:type="paragraph" w:customStyle="1" w:styleId="HeadingProcedure">
    <w:name w:val="Heading Procedure"/>
    <w:basedOn w:val="HeadingBase"/>
    <w:next w:val="Normal"/>
    <w:rsid w:val="00BA4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7F9"/>
    <w:pPr>
      <w:spacing w:before="60" w:after="60"/>
    </w:pPr>
  </w:style>
  <w:style w:type="paragraph" w:styleId="ListContinue">
    <w:name w:val="List Continue"/>
    <w:basedOn w:val="List"/>
    <w:rsid w:val="00BA47F9"/>
    <w:pPr>
      <w:ind w:firstLine="0"/>
    </w:pPr>
  </w:style>
  <w:style w:type="paragraph" w:customStyle="1" w:styleId="ListNote">
    <w:name w:val="List Note"/>
    <w:basedOn w:val="List"/>
    <w:rsid w:val="00BA4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7F9"/>
    <w:rPr>
      <w:rFonts w:ascii="Courier New" w:hAnsi="Courier New"/>
    </w:rPr>
  </w:style>
  <w:style w:type="paragraph" w:customStyle="1" w:styleId="NoteBullet">
    <w:name w:val="Note Bullet"/>
    <w:basedOn w:val="Note"/>
    <w:rsid w:val="00BA4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7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4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7F9"/>
    <w:rPr>
      <w:b/>
      <w:smallCaps/>
    </w:rPr>
  </w:style>
  <w:style w:type="paragraph" w:customStyle="1" w:styleId="TableListNumber">
    <w:name w:val="Table List Number"/>
    <w:basedOn w:val="ListNumber"/>
    <w:rsid w:val="00BA4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7F9"/>
    <w:pPr>
      <w:numPr>
        <w:numId w:val="10"/>
      </w:numPr>
    </w:pPr>
  </w:style>
  <w:style w:type="paragraph" w:customStyle="1" w:styleId="ListAlpha2">
    <w:name w:val="List Alpha 2"/>
    <w:basedOn w:val="List2"/>
    <w:rsid w:val="00BA47F9"/>
    <w:pPr>
      <w:numPr>
        <w:numId w:val="9"/>
      </w:numPr>
    </w:pPr>
  </w:style>
  <w:style w:type="paragraph" w:styleId="List2">
    <w:name w:val="List 2"/>
    <w:basedOn w:val="BodyText"/>
    <w:rsid w:val="00BA4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7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47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47F9"/>
    <w:pPr>
      <w:numPr>
        <w:numId w:val="5"/>
      </w:numPr>
    </w:pPr>
  </w:style>
  <w:style w:type="paragraph" w:styleId="ListContinue2">
    <w:name w:val="List Continue 2"/>
    <w:basedOn w:val="List2"/>
    <w:rsid w:val="00BA47F9"/>
    <w:pPr>
      <w:ind w:firstLine="0"/>
    </w:pPr>
  </w:style>
  <w:style w:type="paragraph" w:styleId="ListContinue3">
    <w:name w:val="List Continue 3"/>
    <w:basedOn w:val="List3"/>
    <w:rsid w:val="00BA47F9"/>
    <w:pPr>
      <w:ind w:left="1021" w:firstLine="0"/>
    </w:pPr>
  </w:style>
  <w:style w:type="paragraph" w:styleId="ListContinue4">
    <w:name w:val="List Continue 4"/>
    <w:basedOn w:val="List4"/>
    <w:rsid w:val="00BA47F9"/>
    <w:pPr>
      <w:ind w:firstLine="0"/>
    </w:pPr>
  </w:style>
  <w:style w:type="paragraph" w:styleId="ListContinue5">
    <w:name w:val="List Continue 5"/>
    <w:basedOn w:val="List5"/>
    <w:rsid w:val="00BA47F9"/>
    <w:pPr>
      <w:ind w:firstLine="0"/>
    </w:pPr>
  </w:style>
  <w:style w:type="paragraph" w:styleId="ListNumber3">
    <w:name w:val="List Number 3"/>
    <w:basedOn w:val="List3"/>
    <w:rsid w:val="00BA47F9"/>
    <w:pPr>
      <w:numPr>
        <w:numId w:val="6"/>
      </w:numPr>
    </w:pPr>
  </w:style>
  <w:style w:type="paragraph" w:styleId="ListNumber4">
    <w:name w:val="List Number 4"/>
    <w:basedOn w:val="List4"/>
    <w:rsid w:val="00BA47F9"/>
    <w:pPr>
      <w:numPr>
        <w:numId w:val="7"/>
      </w:numPr>
    </w:pPr>
  </w:style>
  <w:style w:type="paragraph" w:styleId="ListNumber5">
    <w:name w:val="List Number 5"/>
    <w:basedOn w:val="List5"/>
    <w:rsid w:val="00BA47F9"/>
    <w:pPr>
      <w:numPr>
        <w:numId w:val="8"/>
      </w:numPr>
    </w:pPr>
  </w:style>
  <w:style w:type="paragraph" w:styleId="BlockText">
    <w:name w:val="Block Text"/>
    <w:basedOn w:val="Normal"/>
    <w:rsid w:val="00BA4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7F9"/>
    <w:rPr>
      <w:sz w:val="16"/>
      <w:vertAlign w:val="superscript"/>
    </w:rPr>
  </w:style>
  <w:style w:type="character" w:customStyle="1" w:styleId="Symbols">
    <w:name w:val="Symbols"/>
    <w:basedOn w:val="DefaultParagraphFont"/>
    <w:rsid w:val="00BA47F9"/>
    <w:rPr>
      <w:rFonts w:ascii="Symbol" w:hAnsi="Symbol"/>
    </w:rPr>
  </w:style>
  <w:style w:type="character" w:customStyle="1" w:styleId="MenuOptions">
    <w:name w:val="Menu Options"/>
    <w:basedOn w:val="DefaultParagraphFont"/>
    <w:rsid w:val="00BA4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7F9"/>
    <w:rPr>
      <w:b/>
    </w:rPr>
  </w:style>
  <w:style w:type="character" w:customStyle="1" w:styleId="Underlined">
    <w:name w:val="Underlined"/>
    <w:basedOn w:val="DefaultParagraphFont"/>
    <w:rsid w:val="00BA47F9"/>
    <w:rPr>
      <w:u w:val="single"/>
    </w:rPr>
  </w:style>
  <w:style w:type="paragraph" w:customStyle="1" w:styleId="TableBodyTextRight">
    <w:name w:val="Table Body Text Right"/>
    <w:basedOn w:val="TableBodyText"/>
    <w:rsid w:val="00BA4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7F9"/>
    <w:rPr>
      <w:sz w:val="18"/>
    </w:rPr>
  </w:style>
  <w:style w:type="paragraph" w:customStyle="1" w:styleId="BodySmallRight">
    <w:name w:val="Body Small Right"/>
    <w:basedOn w:val="BodyTextRight"/>
    <w:rsid w:val="00BA47F9"/>
    <w:rPr>
      <w:sz w:val="18"/>
      <w:szCs w:val="18"/>
    </w:rPr>
  </w:style>
  <w:style w:type="paragraph" w:customStyle="1" w:styleId="MarginEdition">
    <w:name w:val="Margin Edition"/>
    <w:basedOn w:val="MarginNote"/>
    <w:rsid w:val="00BA4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7F9"/>
    <w:rPr>
      <w:sz w:val="2"/>
      <w:szCs w:val="2"/>
    </w:rPr>
  </w:style>
  <w:style w:type="character" w:customStyle="1" w:styleId="Small">
    <w:name w:val="Small"/>
    <w:basedOn w:val="DefaultParagraphFont"/>
    <w:rsid w:val="00BA47F9"/>
    <w:rPr>
      <w:sz w:val="16"/>
    </w:rPr>
  </w:style>
  <w:style w:type="paragraph" w:customStyle="1" w:styleId="WideTable">
    <w:name w:val="Wide Table"/>
    <w:basedOn w:val="Normal"/>
    <w:rsid w:val="00BA4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7F9"/>
  </w:style>
  <w:style w:type="paragraph" w:styleId="Quote">
    <w:name w:val="Quote"/>
    <w:basedOn w:val="Heading1"/>
    <w:link w:val="QuoteChar"/>
    <w:qFormat/>
    <w:rsid w:val="00BA4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7F9"/>
    <w:pPr>
      <w:pageBreakBefore/>
    </w:pPr>
  </w:style>
  <w:style w:type="paragraph" w:customStyle="1" w:styleId="Border">
    <w:name w:val="Border"/>
    <w:basedOn w:val="Normal"/>
    <w:qFormat/>
    <w:rsid w:val="00BA4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7F9"/>
    <w:rPr>
      <w:u w:val="single"/>
    </w:rPr>
  </w:style>
  <w:style w:type="character" w:customStyle="1" w:styleId="BoldandItalics">
    <w:name w:val="Bold and Italics"/>
    <w:qFormat/>
    <w:rsid w:val="00BA47F9"/>
    <w:rPr>
      <w:b/>
      <w:i/>
      <w:u w:val="none"/>
    </w:rPr>
  </w:style>
  <w:style w:type="paragraph" w:styleId="BalloonText">
    <w:name w:val="Balloon Text"/>
    <w:basedOn w:val="Normal"/>
    <w:link w:val="BalloonTextChar"/>
    <w:rsid w:val="00BA4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7F9"/>
    <w:pPr>
      <w:spacing w:before="0" w:after="0"/>
    </w:pPr>
  </w:style>
  <w:style w:type="paragraph" w:customStyle="1" w:styleId="BodyTextBold">
    <w:name w:val="Body Text Bold"/>
    <w:basedOn w:val="BodyText"/>
    <w:qFormat/>
    <w:rsid w:val="00BA47F9"/>
    <w:rPr>
      <w:b/>
    </w:rPr>
  </w:style>
  <w:style w:type="character" w:styleId="Hyperlink">
    <w:name w:val="Hyperlink"/>
    <w:basedOn w:val="DefaultParagraphFont"/>
    <w:uiPriority w:val="99"/>
    <w:unhideWhenUsed/>
    <w:rsid w:val="00465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4895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SISFFIT052 Provide healthy eating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