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31A85" w:rsidP="00D31A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SISFFIT034 Assess client movement and provide exercise advice</w:t>
      </w:r>
      <w:r>
        <w:fldChar w:fldCharType="end"/>
      </w:r>
    </w:p>
    <w:p w:rsidR="00D31A85" w:rsidP="00D31A85">
      <w:pPr>
        <w:pStyle w:val="Version"/>
        <w:sectPr w:rsidSect="00B84C1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84C16" w:rsidP="00B84C16">
      <w:pPr>
        <w:pStyle w:val="SuperHeading"/>
      </w:pPr>
      <w:r w:rsidRPr="00B84C16">
        <w:t>Assessment Requirements for SISFFIT034 Assess client movement and provide exercise advice</w:t>
      </w:r>
    </w:p>
    <w:p w:rsidR="00000000" w:rsidRPr="00B84C16" w:rsidP="00B84C16">
      <w:pPr>
        <w:pStyle w:val="Heading1"/>
      </w:pPr>
      <w:bookmarkStart w:id="1" w:name="O_1197695"/>
      <w:bookmarkEnd w:id="1"/>
      <w:r w:rsidRPr="00B84C16">
        <w:t>Modification History</w:t>
      </w:r>
    </w:p>
    <w:p w:rsidR="00000000" w:rsidRPr="00B84C16" w:rsidP="00D31A85">
      <w:pPr>
        <w:pStyle w:val="BodyText"/>
      </w:pPr>
      <w:r w:rsidRPr="00B84C16">
        <w:t>Supersedes and is not equivalent to SISFFIT018 Promote functional movement capacity.</w:t>
      </w:r>
    </w:p>
    <w:p w:rsidR="00000000" w:rsidRPr="00B84C16" w:rsidP="00B84C16">
      <w:pPr>
        <w:pStyle w:val="Heading1"/>
      </w:pPr>
      <w:bookmarkStart w:id="2" w:name="O_1197696"/>
      <w:bookmarkEnd w:id="2"/>
      <w:r w:rsidRPr="00B84C16">
        <w:t>Performance Evidence</w:t>
      </w:r>
    </w:p>
    <w:p w:rsidR="00000000" w:rsidRPr="00B84C16" w:rsidP="00D31A85">
      <w:pPr>
        <w:pStyle w:val="BodyText"/>
      </w:pPr>
      <w:r w:rsidRPr="00B84C16">
        <w:t>Evidence of the ability to complete tasks outlined in elements and performance criteria of this unit in the context of the job role, and:</w:t>
      </w:r>
    </w:p>
    <w:p w:rsidR="00000000" w:rsidRPr="00B84C16" w:rsidP="00B84C16">
      <w:pPr>
        <w:pStyle w:val="ListBullet"/>
      </w:pPr>
      <w:r w:rsidRPr="00B84C16">
        <w:t>assess the posture and movement capacity of three different clients including:</w:t>
      </w:r>
    </w:p>
    <w:p w:rsidR="00000000" w:rsidRPr="00B84C16" w:rsidP="00B84C16">
      <w:pPr>
        <w:pStyle w:val="ListBullet2"/>
      </w:pPr>
      <w:r w:rsidRPr="00B84C16">
        <w:t>a female adult</w:t>
      </w:r>
    </w:p>
    <w:p w:rsidR="00000000" w:rsidRPr="00B84C16" w:rsidP="00B84C16">
      <w:pPr>
        <w:pStyle w:val="ListBullet2"/>
      </w:pPr>
      <w:r w:rsidRPr="00B84C16">
        <w:t>a male adult</w:t>
      </w:r>
    </w:p>
    <w:p w:rsidR="00000000" w:rsidRPr="00B84C16" w:rsidP="00B84C16">
      <w:pPr>
        <w:pStyle w:val="ListBullet2"/>
      </w:pPr>
      <w:r w:rsidRPr="00B84C16">
        <w:t xml:space="preserve">a client </w:t>
      </w:r>
      <w:r w:rsidRPr="00B84C16">
        <w:t>aged 55 years or over</w:t>
      </w:r>
    </w:p>
    <w:p w:rsidR="00000000" w:rsidRPr="00B84C16" w:rsidP="00B84C16">
      <w:pPr>
        <w:pStyle w:val="ListBullet"/>
      </w:pPr>
      <w:r w:rsidRPr="00B84C16">
        <w:t>for each of the above three clients:</w:t>
      </w:r>
    </w:p>
    <w:p w:rsidR="00000000" w:rsidRPr="00B84C16" w:rsidP="00B84C16">
      <w:pPr>
        <w:pStyle w:val="ListBullet2"/>
      </w:pPr>
      <w:r w:rsidRPr="00B84C16">
        <w:t>make observations about static posture using appropriate tools</w:t>
      </w:r>
    </w:p>
    <w:p w:rsidR="00000000" w:rsidRPr="00B84C16" w:rsidP="00B84C16">
      <w:pPr>
        <w:pStyle w:val="ListBullet2"/>
      </w:pPr>
      <w:r w:rsidRPr="00B84C16">
        <w:t>assess dynamic posture, balance, movement quality and limitations</w:t>
      </w:r>
    </w:p>
    <w:p w:rsidR="00000000" w:rsidRPr="00B84C16" w:rsidP="00B84C16">
      <w:pPr>
        <w:pStyle w:val="ListBullet2"/>
      </w:pPr>
      <w:r w:rsidRPr="00B84C16">
        <w:t>use the following movement patterns during assessment:</w:t>
      </w:r>
    </w:p>
    <w:p w:rsidR="00000000" w:rsidRPr="00B84C16" w:rsidP="00B84C16">
      <w:pPr>
        <w:pStyle w:val="ListBullet3"/>
      </w:pPr>
      <w:r w:rsidRPr="00B84C16">
        <w:t>squat</w:t>
      </w:r>
    </w:p>
    <w:p w:rsidR="00000000" w:rsidRPr="00B84C16" w:rsidP="00B84C16">
      <w:pPr>
        <w:pStyle w:val="ListBullet3"/>
      </w:pPr>
      <w:r w:rsidRPr="00B84C16">
        <w:t>lunge</w:t>
      </w:r>
    </w:p>
    <w:p w:rsidR="00000000" w:rsidRPr="00B84C16" w:rsidP="00B84C16">
      <w:pPr>
        <w:pStyle w:val="ListBullet3"/>
      </w:pPr>
      <w:r w:rsidRPr="00B84C16">
        <w:t>hinge</w:t>
      </w:r>
    </w:p>
    <w:p w:rsidR="00000000" w:rsidRPr="00B84C16" w:rsidP="00B84C16">
      <w:pPr>
        <w:pStyle w:val="ListBullet3"/>
      </w:pPr>
      <w:r w:rsidRPr="00B84C16">
        <w:t>horizontal push</w:t>
      </w:r>
    </w:p>
    <w:p w:rsidR="00000000" w:rsidRPr="00B84C16" w:rsidP="00B84C16">
      <w:pPr>
        <w:pStyle w:val="ListBullet3"/>
      </w:pPr>
      <w:r w:rsidRPr="00B84C16">
        <w:t>horizontal pull</w:t>
      </w:r>
    </w:p>
    <w:p w:rsidR="00000000" w:rsidRPr="00B84C16" w:rsidP="00B84C16">
      <w:pPr>
        <w:pStyle w:val="ListBullet3"/>
      </w:pPr>
      <w:r w:rsidRPr="00B84C16">
        <w:t>vertical push</w:t>
      </w:r>
    </w:p>
    <w:p w:rsidR="00000000" w:rsidRPr="00B84C16" w:rsidP="00B84C16">
      <w:pPr>
        <w:pStyle w:val="ListBullet3"/>
      </w:pPr>
      <w:r w:rsidRPr="00B84C16">
        <w:t>vertical pull</w:t>
      </w:r>
    </w:p>
    <w:p w:rsidR="00000000" w:rsidRPr="00B84C16" w:rsidP="00B84C16">
      <w:pPr>
        <w:pStyle w:val="ListBullet3"/>
      </w:pPr>
      <w:r w:rsidRPr="00B84C16">
        <w:t>rotation</w:t>
      </w:r>
    </w:p>
    <w:p w:rsidR="00000000" w:rsidRPr="00B84C16" w:rsidP="00B84C16">
      <w:pPr>
        <w:pStyle w:val="ListBullet2"/>
      </w:pPr>
      <w:r w:rsidRPr="00B84C16">
        <w:t>explain assessment outcomes and accurately record results in client records</w:t>
      </w:r>
    </w:p>
    <w:p w:rsidR="00000000" w:rsidRPr="00B84C16" w:rsidP="00B84C16">
      <w:pPr>
        <w:pStyle w:val="ListBullet2"/>
      </w:pPr>
      <w:r w:rsidRPr="00B84C16">
        <w:t>recommend and demonstrate three exercises to address identified issues</w:t>
      </w:r>
    </w:p>
    <w:p w:rsidR="00000000" w:rsidRPr="00B84C16" w:rsidP="00B84C16">
      <w:pPr>
        <w:pStyle w:val="ListBullet2"/>
      </w:pPr>
      <w:r w:rsidRPr="00B84C16">
        <w:t>have client complete the th</w:t>
      </w:r>
      <w:r w:rsidRPr="00B84C16">
        <w:t>ree exercises and observe and modify technique as required to correct technique</w:t>
      </w:r>
    </w:p>
    <w:p w:rsidR="00000000" w:rsidRPr="00B84C16" w:rsidP="00B84C16">
      <w:pPr>
        <w:pStyle w:val="ListBullet2"/>
      </w:pPr>
      <w:r w:rsidRPr="00B84C16">
        <w:t>consistently use client-centred communication during all interactions.</w:t>
      </w:r>
    </w:p>
    <w:p w:rsidR="00000000" w:rsidRPr="00B84C16" w:rsidP="00B84C16">
      <w:pPr>
        <w:pStyle w:val="AllowPageBreak"/>
      </w:pPr>
    </w:p>
    <w:p w:rsidR="00000000" w:rsidRPr="00B84C16" w:rsidP="00B84C16">
      <w:pPr>
        <w:pStyle w:val="Heading1"/>
      </w:pPr>
      <w:bookmarkStart w:id="3" w:name="O_1197697"/>
      <w:bookmarkEnd w:id="3"/>
      <w:r w:rsidRPr="00B84C16">
        <w:t>Knowledge Evidence</w:t>
      </w:r>
    </w:p>
    <w:p w:rsidR="00000000" w:rsidRPr="00B84C16" w:rsidP="00D31A85">
      <w:pPr>
        <w:pStyle w:val="BodyText"/>
      </w:pPr>
      <w:r w:rsidRPr="00B84C16">
        <w:t>Demonstrated knowledge required to complete the tasks outlined in elements and performance criteria of this unit:</w:t>
      </w:r>
    </w:p>
    <w:p w:rsidR="00000000" w:rsidRPr="00B84C16" w:rsidP="00B84C16">
      <w:pPr>
        <w:pStyle w:val="ListBullet"/>
      </w:pPr>
      <w:r w:rsidRPr="00B84C16">
        <w:t>client-centred communication techniques for establishing and building trust and rapport, and how they may vary depending on individual client</w:t>
      </w:r>
      <w:r w:rsidRPr="00B84C16">
        <w:t xml:space="preserve"> characteristics</w:t>
      </w:r>
    </w:p>
    <w:p w:rsidR="00000000" w:rsidRPr="00B84C16" w:rsidP="00B84C16">
      <w:pPr>
        <w:pStyle w:val="ListBullet"/>
      </w:pPr>
      <w:r w:rsidRPr="00B84C16">
        <w:t>scope of practice for a personal trainer in assessing movement and posture, and recommending exercises:</w:t>
      </w:r>
    </w:p>
    <w:p w:rsidR="00000000" w:rsidRPr="00B84C16" w:rsidP="00B84C16">
      <w:pPr>
        <w:pStyle w:val="ListBullet2"/>
      </w:pPr>
      <w:r w:rsidRPr="00B84C16">
        <w:t>boundaries and responsibilities</w:t>
      </w:r>
    </w:p>
    <w:p w:rsidR="00000000" w:rsidRPr="00B84C16" w:rsidP="00B84C16">
      <w:pPr>
        <w:pStyle w:val="ListBullet2"/>
      </w:pPr>
      <w:r w:rsidRPr="00B84C16">
        <w:t>relationship between fitness instructors and medical and allied health professionals in supporting opt</w:t>
      </w:r>
      <w:r w:rsidRPr="00B84C16">
        <w:t>imum client movement</w:t>
      </w:r>
    </w:p>
    <w:p w:rsidR="00000000" w:rsidRPr="00B84C16" w:rsidP="00B84C16">
      <w:pPr>
        <w:pStyle w:val="ListBullet2"/>
      </w:pPr>
      <w:r w:rsidRPr="00B84C16">
        <w:t>situations where referral to medical and allied health professional is required:</w:t>
      </w:r>
    </w:p>
    <w:p w:rsidR="00000000" w:rsidRPr="00B84C16" w:rsidP="00B84C16">
      <w:pPr>
        <w:pStyle w:val="ListBullet3"/>
      </w:pPr>
      <w:r w:rsidRPr="00B84C16">
        <w:t>pain during movement and exercise</w:t>
      </w:r>
    </w:p>
    <w:p w:rsidR="00000000" w:rsidRPr="00B84C16" w:rsidP="00B84C16">
      <w:pPr>
        <w:pStyle w:val="ListBullet3"/>
      </w:pPr>
      <w:r w:rsidRPr="00B84C16">
        <w:t>static postural deviations outside normal ranges</w:t>
      </w:r>
    </w:p>
    <w:p w:rsidR="00000000" w:rsidRPr="00B84C16" w:rsidP="00B84C16">
      <w:pPr>
        <w:pStyle w:val="ListBullet3"/>
      </w:pPr>
      <w:r w:rsidRPr="00B84C16">
        <w:t>client inability to correct dynamic posture</w:t>
      </w:r>
    </w:p>
    <w:p w:rsidR="00000000" w:rsidRPr="00B84C16" w:rsidP="00B84C16">
      <w:pPr>
        <w:pStyle w:val="ListBullet3"/>
      </w:pPr>
      <w:r w:rsidRPr="00B84C16">
        <w:t>restricted joint mobility, strength imbalance, and stability concern that is limiting function</w:t>
      </w:r>
    </w:p>
    <w:p w:rsidR="00000000" w:rsidRPr="00B84C16" w:rsidP="00B84C16">
      <w:pPr>
        <w:pStyle w:val="ListBullet"/>
      </w:pPr>
      <w:r w:rsidRPr="00B84C16">
        <w:t>basic aspects of current and emerging evidence-based research about movement and postural alignment and the impacts on movement and exercise prescription</w:t>
      </w:r>
    </w:p>
    <w:p w:rsidR="00000000" w:rsidRPr="00B84C16" w:rsidP="00B84C16">
      <w:pPr>
        <w:pStyle w:val="ListBullet"/>
      </w:pPr>
      <w:r w:rsidRPr="00B84C16">
        <w:t>static</w:t>
      </w:r>
      <w:r w:rsidRPr="00B84C16">
        <w:t xml:space="preserve"> posture:</w:t>
      </w:r>
    </w:p>
    <w:p w:rsidR="00000000" w:rsidRPr="00B84C16" w:rsidP="00B84C16">
      <w:pPr>
        <w:pStyle w:val="ListBullet2"/>
      </w:pPr>
      <w:r w:rsidRPr="00B84C16">
        <w:t>types of measuring tools and observations used for basic assessments</w:t>
      </w:r>
    </w:p>
    <w:p w:rsidR="00000000" w:rsidRPr="00B84C16" w:rsidP="00B84C16">
      <w:pPr>
        <w:pStyle w:val="ListBullet2"/>
      </w:pPr>
      <w:r w:rsidRPr="00B84C16">
        <w:t>recommended alignment and ranges based on individual structural differences</w:t>
      </w:r>
    </w:p>
    <w:p w:rsidR="00000000" w:rsidRPr="00B84C16" w:rsidP="00B84C16">
      <w:pPr>
        <w:pStyle w:val="ListBullet"/>
      </w:pPr>
      <w:r w:rsidRPr="00B84C16">
        <w:t>influences affecting dysfunctional movement patterns and exercise technique:</w:t>
      </w:r>
    </w:p>
    <w:p w:rsidR="00000000" w:rsidRPr="00B84C16" w:rsidP="00B84C16">
      <w:pPr>
        <w:pStyle w:val="ListBullet2"/>
      </w:pPr>
      <w:r w:rsidRPr="00B84C16">
        <w:t>abnormalities of the musculoskeletal system including the spine</w:t>
      </w:r>
    </w:p>
    <w:p w:rsidR="00000000" w:rsidRPr="00B84C16" w:rsidP="00B84C16">
      <w:pPr>
        <w:pStyle w:val="ListBullet2"/>
      </w:pPr>
      <w:r w:rsidRPr="00B84C16">
        <w:t>damage to bones and connective tissue including ligaments and cartilage</w:t>
      </w:r>
    </w:p>
    <w:p w:rsidR="00000000" w:rsidRPr="00B84C16" w:rsidP="00B84C16">
      <w:pPr>
        <w:pStyle w:val="ListBullet2"/>
      </w:pPr>
      <w:r w:rsidRPr="00B84C16">
        <w:t>asymmetrical muscle tone</w:t>
      </w:r>
    </w:p>
    <w:p w:rsidR="00000000" w:rsidRPr="00B84C16" w:rsidP="00B84C16">
      <w:pPr>
        <w:pStyle w:val="ListBullet2"/>
      </w:pPr>
      <w:r w:rsidRPr="00B84C16">
        <w:t>poor muscle endurance</w:t>
      </w:r>
    </w:p>
    <w:p w:rsidR="00000000" w:rsidRPr="00B84C16" w:rsidP="00B84C16">
      <w:pPr>
        <w:pStyle w:val="ListBullet2"/>
      </w:pPr>
      <w:r w:rsidRPr="00B84C16">
        <w:t>poor muscle strength</w:t>
      </w:r>
    </w:p>
    <w:p w:rsidR="00000000" w:rsidRPr="00B84C16" w:rsidP="00B84C16">
      <w:pPr>
        <w:pStyle w:val="ListBullet2"/>
      </w:pPr>
      <w:r w:rsidRPr="00B84C16">
        <w:t>locomotive gait including walking, jogging and runni</w:t>
      </w:r>
      <w:r w:rsidRPr="00B84C16">
        <w:t>ng</w:t>
      </w:r>
    </w:p>
    <w:p w:rsidR="00000000" w:rsidRPr="00B84C16" w:rsidP="00B84C16">
      <w:pPr>
        <w:pStyle w:val="ListBullet"/>
      </w:pPr>
      <w:r w:rsidRPr="00B84C16">
        <w:t>deviations in postural alignment outside of normal ranges and functional limitations that can occur at commencement, during, and on completion of exercise and movement:</w:t>
      </w:r>
    </w:p>
    <w:p w:rsidR="00000000" w:rsidRPr="00B84C16" w:rsidP="00B84C16">
      <w:pPr>
        <w:pStyle w:val="ListBullet2"/>
      </w:pPr>
      <w:r w:rsidRPr="00B84C16">
        <w:t>spinal curvature including lordosis and kyphosis</w:t>
      </w:r>
    </w:p>
    <w:p w:rsidR="00000000" w:rsidRPr="00B84C16" w:rsidP="00B84C16">
      <w:pPr>
        <w:pStyle w:val="ListBullet2"/>
      </w:pPr>
      <w:r w:rsidRPr="00B84C16">
        <w:t>scapula setting:</w:t>
      </w:r>
    </w:p>
    <w:p w:rsidR="00000000" w:rsidRPr="00B84C16" w:rsidP="00B84C16">
      <w:pPr>
        <w:pStyle w:val="ListBullet3"/>
      </w:pPr>
      <w:r w:rsidRPr="00B84C16">
        <w:t>winging of scap</w:t>
      </w:r>
      <w:r w:rsidRPr="00B84C16">
        <w:t>ula</w:t>
      </w:r>
    </w:p>
    <w:p w:rsidR="00000000" w:rsidRPr="00B84C16" w:rsidP="00B84C16">
      <w:pPr>
        <w:pStyle w:val="ListBullet3"/>
      </w:pPr>
      <w:r w:rsidRPr="00B84C16">
        <w:t>anterior tipping and tilting</w:t>
      </w:r>
    </w:p>
    <w:p w:rsidR="00000000" w:rsidRPr="00B84C16" w:rsidP="00B84C16">
      <w:pPr>
        <w:pStyle w:val="ListBullet3"/>
      </w:pPr>
      <w:r w:rsidRPr="00B84C16">
        <w:t>upward and downward rotation</w:t>
      </w:r>
    </w:p>
    <w:p w:rsidR="00000000" w:rsidRPr="00B84C16" w:rsidP="00B84C16">
      <w:pPr>
        <w:pStyle w:val="ListBullet2"/>
      </w:pPr>
      <w:r w:rsidRPr="00B84C16">
        <w:t>hip and pelvis position:</w:t>
      </w:r>
    </w:p>
    <w:p w:rsidR="00000000" w:rsidRPr="00B84C16" w:rsidP="00B84C16">
      <w:pPr>
        <w:pStyle w:val="ListBullet3"/>
      </w:pPr>
      <w:r w:rsidRPr="00B84C16">
        <w:t>anterior and posterior</w:t>
      </w:r>
    </w:p>
    <w:p w:rsidR="00000000" w:rsidRPr="00B84C16" w:rsidP="00B84C16">
      <w:pPr>
        <w:pStyle w:val="ListBullet3"/>
      </w:pPr>
      <w:r w:rsidRPr="00B84C16">
        <w:t>internal and external rotation</w:t>
      </w:r>
    </w:p>
    <w:p w:rsidR="00000000" w:rsidRPr="00B84C16" w:rsidP="00B84C16">
      <w:pPr>
        <w:pStyle w:val="ListBullet2"/>
      </w:pPr>
      <w:r w:rsidRPr="00B84C16">
        <w:t>knee alignment, varus and valgus</w:t>
      </w:r>
    </w:p>
    <w:p w:rsidR="00000000" w:rsidRPr="00B84C16" w:rsidP="00B84C16">
      <w:pPr>
        <w:pStyle w:val="ListBullet2"/>
      </w:pPr>
      <w:r w:rsidRPr="00B84C16">
        <w:t>foot alignment:</w:t>
      </w:r>
    </w:p>
    <w:p w:rsidR="00000000" w:rsidRPr="00B84C16" w:rsidP="00B84C16">
      <w:pPr>
        <w:pStyle w:val="ListBullet3"/>
      </w:pPr>
      <w:r w:rsidRPr="00B84C16">
        <w:t>rotation</w:t>
      </w:r>
    </w:p>
    <w:p w:rsidR="00000000" w:rsidRPr="00B84C16" w:rsidP="00B84C16">
      <w:pPr>
        <w:pStyle w:val="ListBullet3"/>
      </w:pPr>
      <w:r w:rsidRPr="00B84C16">
        <w:t>pronation and supination</w:t>
      </w:r>
    </w:p>
    <w:p w:rsidR="00000000" w:rsidRPr="00B84C16" w:rsidP="00B84C16">
      <w:pPr>
        <w:pStyle w:val="ListBullet"/>
      </w:pPr>
      <w:r w:rsidRPr="00B84C16">
        <w:t>relationship between the following postural variances and potential for injury, and injury prevention techniques when they are present:</w:t>
      </w:r>
    </w:p>
    <w:p w:rsidR="00000000" w:rsidRPr="00B84C16" w:rsidP="00B84C16">
      <w:pPr>
        <w:pStyle w:val="ListBullet2"/>
      </w:pPr>
      <w:r w:rsidRPr="00B84C16">
        <w:t>excessive posterior and anterior pelvic tilt</w:t>
      </w:r>
    </w:p>
    <w:p w:rsidR="00000000" w:rsidRPr="00B84C16" w:rsidP="00B84C16">
      <w:pPr>
        <w:pStyle w:val="ListBullet2"/>
      </w:pPr>
      <w:r w:rsidRPr="00B84C16">
        <w:t>genu varum and genu valgum</w:t>
      </w:r>
    </w:p>
    <w:p w:rsidR="00000000" w:rsidRPr="00B84C16" w:rsidP="00B84C16">
      <w:pPr>
        <w:pStyle w:val="ListBullet2"/>
      </w:pPr>
      <w:r w:rsidRPr="00B84C16">
        <w:t>hyperextension of knees</w:t>
      </w:r>
    </w:p>
    <w:p w:rsidR="00000000" w:rsidRPr="00B84C16" w:rsidP="00B84C16">
      <w:pPr>
        <w:pStyle w:val="ListBullet2"/>
      </w:pPr>
      <w:r w:rsidRPr="00B84C16">
        <w:t>increased pronation of foot and ankle complex</w:t>
      </w:r>
    </w:p>
    <w:p w:rsidR="00000000" w:rsidRPr="00B84C16" w:rsidP="00B84C16">
      <w:pPr>
        <w:pStyle w:val="ListBullet2"/>
      </w:pPr>
      <w:r w:rsidRPr="00B84C16">
        <w:t>increased supination of foot and ankle complex</w:t>
      </w:r>
    </w:p>
    <w:p w:rsidR="00000000" w:rsidRPr="00B84C16" w:rsidP="00B84C16">
      <w:pPr>
        <w:pStyle w:val="ListBullet2"/>
      </w:pPr>
      <w:r w:rsidRPr="00B84C16">
        <w:t>spinal curvature including lordosis and kyphosis</w:t>
      </w:r>
    </w:p>
    <w:p w:rsidR="00000000" w:rsidRPr="00B84C16" w:rsidP="00B84C16">
      <w:pPr>
        <w:pStyle w:val="ListBullet2"/>
      </w:pPr>
      <w:r w:rsidRPr="00B84C16">
        <w:t>lateral tilt of pelvis and head</w:t>
      </w:r>
    </w:p>
    <w:p w:rsidR="00000000" w:rsidRPr="00B84C16" w:rsidP="00B84C16">
      <w:pPr>
        <w:pStyle w:val="ListBullet2"/>
      </w:pPr>
      <w:r w:rsidRPr="00B84C16">
        <w:t>rotated patella</w:t>
      </w:r>
    </w:p>
    <w:p w:rsidR="00000000" w:rsidRPr="00B84C16" w:rsidP="00B84C16">
      <w:pPr>
        <w:pStyle w:val="ListBullet2"/>
      </w:pPr>
      <w:r w:rsidRPr="00B84C16">
        <w:t>rounded shoulders</w:t>
      </w:r>
    </w:p>
    <w:p w:rsidR="00000000" w:rsidRPr="00B84C16" w:rsidP="00B84C16">
      <w:pPr>
        <w:pStyle w:val="ListBullet2"/>
      </w:pPr>
      <w:r w:rsidRPr="00B84C16">
        <w:t>winging of scapula</w:t>
      </w:r>
    </w:p>
    <w:p w:rsidR="00000000" w:rsidRPr="00B84C16" w:rsidP="00B84C16">
      <w:pPr>
        <w:pStyle w:val="ListBullet"/>
      </w:pPr>
      <w:r w:rsidRPr="00B84C16">
        <w:t>effective dynamic posture an</w:t>
      </w:r>
      <w:r w:rsidRPr="00B84C16">
        <w:t>d correct execution for major foundational movement patterns:</w:t>
      </w:r>
    </w:p>
    <w:p w:rsidR="00000000" w:rsidRPr="00B84C16" w:rsidP="00B84C16">
      <w:pPr>
        <w:pStyle w:val="ListBullet2"/>
      </w:pPr>
      <w:r w:rsidRPr="00B84C16">
        <w:t>squat</w:t>
      </w:r>
    </w:p>
    <w:p w:rsidR="00000000" w:rsidRPr="00B84C16" w:rsidP="00B84C16">
      <w:pPr>
        <w:pStyle w:val="ListBullet2"/>
      </w:pPr>
      <w:r w:rsidRPr="00B84C16">
        <w:t>lunge</w:t>
      </w:r>
    </w:p>
    <w:p w:rsidR="00000000" w:rsidRPr="00B84C16" w:rsidP="00B84C16">
      <w:pPr>
        <w:pStyle w:val="ListBullet2"/>
      </w:pPr>
      <w:r w:rsidRPr="00B84C16">
        <w:t>hinge</w:t>
      </w:r>
    </w:p>
    <w:p w:rsidR="00000000" w:rsidRPr="00B84C16" w:rsidP="00B84C16">
      <w:pPr>
        <w:pStyle w:val="ListBullet2"/>
      </w:pPr>
      <w:r w:rsidRPr="00B84C16">
        <w:t>horizontal push</w:t>
      </w:r>
    </w:p>
    <w:p w:rsidR="00000000" w:rsidRPr="00B84C16" w:rsidP="00B84C16">
      <w:pPr>
        <w:pStyle w:val="ListBullet2"/>
      </w:pPr>
      <w:r w:rsidRPr="00B84C16">
        <w:t>horizontal pull</w:t>
      </w:r>
    </w:p>
    <w:p w:rsidR="00000000" w:rsidRPr="00B84C16" w:rsidP="00B84C16">
      <w:pPr>
        <w:pStyle w:val="ListBullet2"/>
      </w:pPr>
      <w:r w:rsidRPr="00B84C16">
        <w:t>vertical push</w:t>
      </w:r>
    </w:p>
    <w:p w:rsidR="00000000" w:rsidRPr="00B84C16" w:rsidP="00B84C16">
      <w:pPr>
        <w:pStyle w:val="ListBullet2"/>
      </w:pPr>
      <w:r w:rsidRPr="00B84C16">
        <w:t>vertical pull</w:t>
      </w:r>
    </w:p>
    <w:p w:rsidR="00000000" w:rsidRPr="00B84C16" w:rsidP="00B84C16">
      <w:pPr>
        <w:pStyle w:val="ListBullet2"/>
      </w:pPr>
      <w:r w:rsidRPr="00B84C16">
        <w:t>rotation</w:t>
      </w:r>
    </w:p>
    <w:p w:rsidR="00000000" w:rsidRPr="00B84C16" w:rsidP="00B84C16">
      <w:pPr>
        <w:pStyle w:val="ListBullet"/>
      </w:pPr>
      <w:r w:rsidRPr="00B84C16">
        <w:t xml:space="preserve">normal range of movement for major joints and types of flexibility exercises that support </w:t>
      </w:r>
      <w:r w:rsidRPr="00B84C16">
        <w:t>improved range of movement</w:t>
      </w:r>
    </w:p>
    <w:p w:rsidR="00000000" w:rsidRPr="00B84C16" w:rsidP="00B84C16">
      <w:pPr>
        <w:pStyle w:val="ListBullet"/>
      </w:pPr>
      <w:r w:rsidRPr="00B84C16">
        <w:t>characteristics of balance and types of exercises that support improved balance:</w:t>
      </w:r>
    </w:p>
    <w:p w:rsidR="00000000" w:rsidRPr="00B84C16" w:rsidP="00B84C16">
      <w:pPr>
        <w:pStyle w:val="ListBullet2"/>
      </w:pPr>
      <w:r w:rsidRPr="00B84C16">
        <w:t>base of support</w:t>
      </w:r>
    </w:p>
    <w:p w:rsidR="00000000" w:rsidRPr="00B84C16" w:rsidP="00B84C16">
      <w:pPr>
        <w:pStyle w:val="ListBullet2"/>
      </w:pPr>
      <w:r w:rsidRPr="00B84C16">
        <w:t>centre of gravity and factors that can cause changes to a person’s centre of gravity:</w:t>
      </w:r>
    </w:p>
    <w:p w:rsidR="00000000" w:rsidRPr="00B84C16" w:rsidP="00B84C16">
      <w:pPr>
        <w:pStyle w:val="ListBullet3"/>
      </w:pPr>
      <w:r w:rsidRPr="00B84C16">
        <w:t>age</w:t>
      </w:r>
    </w:p>
    <w:p w:rsidR="00000000" w:rsidRPr="00B84C16" w:rsidP="00B84C16">
      <w:pPr>
        <w:pStyle w:val="ListBullet3"/>
      </w:pPr>
      <w:r w:rsidRPr="00B84C16">
        <w:t>pregnancy</w:t>
      </w:r>
    </w:p>
    <w:p w:rsidR="00000000" w:rsidRPr="00B84C16" w:rsidP="00B84C16">
      <w:pPr>
        <w:pStyle w:val="ListBullet3"/>
      </w:pPr>
      <w:r w:rsidRPr="00B84C16">
        <w:t>being overweight</w:t>
      </w:r>
    </w:p>
    <w:p w:rsidR="00000000" w:rsidRPr="00B84C16" w:rsidP="00B84C16">
      <w:pPr>
        <w:pStyle w:val="ListBullet2"/>
      </w:pPr>
      <w:r w:rsidRPr="00B84C16">
        <w:t>limits of stability</w:t>
      </w:r>
    </w:p>
    <w:p w:rsidR="00000000" w:rsidRPr="00B84C16" w:rsidP="00B84C16">
      <w:pPr>
        <w:pStyle w:val="ListBullet2"/>
      </w:pPr>
      <w:r w:rsidRPr="00B84C16">
        <w:t>components of balance maintenance</w:t>
      </w:r>
    </w:p>
    <w:p w:rsidR="00000000" w:rsidRPr="00B84C16" w:rsidP="00B84C16">
      <w:pPr>
        <w:pStyle w:val="ListBullet2"/>
      </w:pPr>
      <w:r w:rsidRPr="00B84C16">
        <w:t>balance disturbance and key causes.</w:t>
      </w:r>
    </w:p>
    <w:p w:rsidR="00000000" w:rsidRPr="00B84C16" w:rsidP="00B84C16">
      <w:pPr>
        <w:pStyle w:val="AllowPageBreak"/>
      </w:pPr>
    </w:p>
    <w:p w:rsidR="00000000" w:rsidRPr="00B84C16" w:rsidP="00B84C16">
      <w:pPr>
        <w:pStyle w:val="Heading1"/>
      </w:pPr>
      <w:bookmarkStart w:id="4" w:name="O_1197698"/>
      <w:bookmarkEnd w:id="4"/>
      <w:r w:rsidRPr="00B84C16">
        <w:t>Assessment Conditions</w:t>
      </w:r>
    </w:p>
    <w:p w:rsidR="00000000" w:rsidRPr="00B84C16" w:rsidP="00D31A85">
      <w:pPr>
        <w:pStyle w:val="BodyText"/>
      </w:pPr>
      <w:r w:rsidRPr="00B84C16">
        <w:t>Skills can be demonstrated in:</w:t>
      </w:r>
    </w:p>
    <w:p w:rsidR="00000000" w:rsidRPr="00B84C16" w:rsidP="00B84C16">
      <w:pPr>
        <w:pStyle w:val="ListBullet"/>
      </w:pPr>
      <w:r w:rsidRPr="00B84C16">
        <w:t>the workplace, or</w:t>
      </w:r>
    </w:p>
    <w:p w:rsidR="00000000" w:rsidRPr="00B84C16" w:rsidP="00B84C16">
      <w:pPr>
        <w:pStyle w:val="ListBullet"/>
      </w:pPr>
      <w:r w:rsidRPr="00B84C16">
        <w:t>a simulated workplace set up for the purpose of skills assessment.</w:t>
      </w:r>
    </w:p>
    <w:p w:rsidR="00000000" w:rsidRPr="00B84C16" w:rsidP="00D31A85">
      <w:pPr>
        <w:pStyle w:val="BodyText"/>
      </w:pPr>
      <w:r w:rsidRPr="00B84C16">
        <w:t>Assessment must ensure use of:</w:t>
      </w:r>
    </w:p>
    <w:p w:rsidR="00000000" w:rsidRPr="00B84C16" w:rsidP="00B84C16">
      <w:pPr>
        <w:pStyle w:val="ListBullet"/>
      </w:pPr>
      <w:r w:rsidRPr="00B84C16">
        <w:t>interaction with clients; these can be:</w:t>
      </w:r>
    </w:p>
    <w:p w:rsidR="00000000" w:rsidRPr="00B84C16" w:rsidP="00B84C16">
      <w:pPr>
        <w:pStyle w:val="ListBullet2"/>
      </w:pPr>
      <w:r w:rsidRPr="00B84C16">
        <w:t>clients in an industry workplace, or</w:t>
      </w:r>
    </w:p>
    <w:p w:rsidR="00000000" w:rsidRPr="00B84C16" w:rsidP="00B84C16">
      <w:pPr>
        <w:pStyle w:val="ListBullet2"/>
      </w:pPr>
      <w:r w:rsidRPr="00B84C16">
        <w:t>individuals who participate in simulated activities used for the purpose of skills assessment</w:t>
      </w:r>
    </w:p>
    <w:p w:rsidR="00000000" w:rsidRPr="00B84C16" w:rsidP="00B84C16">
      <w:pPr>
        <w:pStyle w:val="ListBullet"/>
      </w:pPr>
      <w:r w:rsidRPr="00B84C16">
        <w:t>measuring tools including at least two of the follo</w:t>
      </w:r>
      <w:r w:rsidRPr="00B84C16">
        <w:t>wing: flexometers, goniometers, plurimeters, plumb lines, grids and tape measures</w:t>
      </w:r>
    </w:p>
    <w:p w:rsidR="00000000" w:rsidRPr="00B84C16" w:rsidP="00B84C16">
      <w:pPr>
        <w:pStyle w:val="ListBullet"/>
      </w:pPr>
      <w:r w:rsidRPr="00B84C16">
        <w:t>still and video cameras which can be mobile phone based</w:t>
      </w:r>
    </w:p>
    <w:p w:rsidR="00000000" w:rsidRPr="00B84C16" w:rsidP="00B84C16">
      <w:pPr>
        <w:pStyle w:val="ListBullet"/>
      </w:pPr>
      <w:r w:rsidRPr="00B84C16">
        <w:t>equipment for selected assessment exercises</w:t>
      </w:r>
    </w:p>
    <w:p w:rsidR="00000000" w:rsidRPr="00B84C16" w:rsidP="00B84C16">
      <w:pPr>
        <w:pStyle w:val="ListBullet"/>
      </w:pPr>
      <w:r w:rsidRPr="00B84C16">
        <w:t>visual aids for explanation of movement and postures</w:t>
      </w:r>
    </w:p>
    <w:p w:rsidR="00000000" w:rsidRPr="00B84C16" w:rsidP="00B84C16">
      <w:pPr>
        <w:pStyle w:val="ListBullet"/>
      </w:pPr>
      <w:r w:rsidRPr="00B84C16">
        <w:t xml:space="preserve">client records which </w:t>
      </w:r>
      <w:r w:rsidRPr="00B84C16">
        <w:t>include completed industry standard pre-exercise screening documentation.</w:t>
      </w:r>
    </w:p>
    <w:p w:rsidR="00000000" w:rsidRPr="00B84C16" w:rsidP="00D31A85">
      <w:pPr>
        <w:pStyle w:val="BodyText"/>
      </w:pPr>
      <w:r w:rsidRPr="00B84C16">
        <w:t>Assessors must:</w:t>
      </w:r>
    </w:p>
    <w:p w:rsidR="00000000" w:rsidRPr="00B84C16" w:rsidP="00B84C16">
      <w:pPr>
        <w:pStyle w:val="ListBullet"/>
      </w:pPr>
      <w:r w:rsidRPr="00B84C16">
        <w:t>satisfy the Standards for Registered Training Organisations requirements for assessors, and</w:t>
      </w:r>
    </w:p>
    <w:p w:rsidR="00000000" w:rsidRPr="00B84C16" w:rsidP="00B84C16">
      <w:pPr>
        <w:pStyle w:val="ListBullet"/>
      </w:pPr>
      <w:r w:rsidRPr="00B84C16">
        <w:t>hold a Certificate IV in Fitness, and have a collective period of at leas</w:t>
      </w:r>
      <w:r w:rsidRPr="00B84C16">
        <w:t>t two years’ experience working in fitness instruction, where they have applied the skills and knowledge covered in this unit of competency; the two years</w:t>
      </w:r>
      <w:r>
        <w:t>’</w:t>
      </w:r>
      <w:r w:rsidRPr="00B84C16">
        <w:t xml:space="preserve"> experience can incorporate full and part time experience, or</w:t>
      </w:r>
    </w:p>
    <w:p w:rsidR="00000000" w:rsidRPr="00B84C16" w:rsidP="00B84C16">
      <w:pPr>
        <w:pStyle w:val="ListBullet"/>
      </w:pPr>
      <w:r w:rsidRPr="00B84C16">
        <w:t>be a registered or accredited practisin</w:t>
      </w:r>
      <w:r w:rsidRPr="00B84C16">
        <w:t>g health or exercise professional with a degree and experience relevant to this unit of competency.</w:t>
      </w:r>
    </w:p>
    <w:p w:rsidR="00000000" w:rsidRPr="00B84C16" w:rsidP="00B84C16">
      <w:pPr>
        <w:pStyle w:val="AllowPageBreak"/>
      </w:pPr>
    </w:p>
    <w:p w:rsidR="00000000" w:rsidRPr="00B84C16" w:rsidP="00B84C16">
      <w:pPr>
        <w:pStyle w:val="Heading1"/>
      </w:pPr>
      <w:bookmarkStart w:id="5" w:name="O_1197701"/>
      <w:bookmarkEnd w:id="5"/>
      <w:r w:rsidRPr="00B84C16">
        <w:t>Links</w:t>
      </w:r>
    </w:p>
    <w:p w:rsidR="00000000" w:rsidRPr="00B84C16" w:rsidP="00D31A85">
      <w:pPr>
        <w:pStyle w:val="BodyText"/>
      </w:pPr>
      <w:r w:rsidRPr="00B84C16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C95184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B84C16" w:rsidP="00B84C16"/>
    <w:sectPr w:rsidSect="00B84C1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1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16" w:rsidRPr="00D31A85" w:rsidP="00D31A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1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85" w:rsidP="00B84C1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31A85" w:rsidP="00B84C1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D31A85" w:rsidP="00B84C1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1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8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84C16" w:rsidRPr="00D31A85" w:rsidP="00D31A8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84C1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31A85" w:rsidRPr="002D2AF8" w:rsidP="00B84C1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SISFFIT034 Assess client movement and provide exercise advice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D31A85" w:rsidP="00B84C1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26A579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1E83B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34E400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84C1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84C1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84C1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84C1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84C1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84C1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84C1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84C1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84C1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84C1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84C1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84C16"/>
  </w:style>
  <w:style w:type="character" w:customStyle="1" w:styleId="Heading1Char">
    <w:name w:val="Heading 1 Char"/>
    <w:basedOn w:val="DefaultParagraphFont"/>
    <w:link w:val="Heading1"/>
    <w:rsid w:val="00B84C1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84C1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84C1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84C16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84C16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84C1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84C1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B84C16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B84C1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84C1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84C1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8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84C1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8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84C1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84C1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84C1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84C1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84C1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84C1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84C1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84C1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84C1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84C1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84C1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84C1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84C1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84C1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84C16"/>
    <w:rPr>
      <w:b/>
      <w:spacing w:val="0"/>
    </w:rPr>
  </w:style>
  <w:style w:type="paragraph" w:customStyle="1" w:styleId="SuperTitle">
    <w:name w:val="SuperTitle"/>
    <w:basedOn w:val="Title"/>
    <w:rsid w:val="00B84C1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84C1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84C1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84C1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84C1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84C1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84C1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84C1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84C1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84C1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84C1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84C1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84C16"/>
    <w:rPr>
      <w:i/>
    </w:rPr>
  </w:style>
  <w:style w:type="paragraph" w:styleId="Caption">
    <w:name w:val="caption"/>
    <w:basedOn w:val="BodyText"/>
    <w:next w:val="Normal"/>
    <w:qFormat/>
    <w:rsid w:val="00B84C1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84C1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84C1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84C16"/>
  </w:style>
  <w:style w:type="paragraph" w:styleId="TableofFigures">
    <w:name w:val="table of figures"/>
    <w:basedOn w:val="Normal"/>
    <w:next w:val="Normal"/>
    <w:semiHidden/>
    <w:rsid w:val="00B84C1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84C16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B84C16"/>
    <w:rPr>
      <w:rFonts w:ascii="Wingdings" w:hAnsi="Wingdings"/>
    </w:rPr>
  </w:style>
  <w:style w:type="paragraph" w:customStyle="1" w:styleId="TableHeading">
    <w:name w:val="Table Heading"/>
    <w:basedOn w:val="HeadingBase"/>
    <w:rsid w:val="00B84C1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84C16"/>
    <w:rPr>
      <w:color w:val="0033CC"/>
      <w:u w:val="none"/>
    </w:rPr>
  </w:style>
  <w:style w:type="paragraph" w:customStyle="1" w:styleId="BodyTextRight">
    <w:name w:val="Body Text Right"/>
    <w:basedOn w:val="BodyText"/>
    <w:rsid w:val="00B84C1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84C1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84C16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84C1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84C1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84C1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84C16"/>
    <w:rPr>
      <w:sz w:val="32"/>
    </w:rPr>
  </w:style>
  <w:style w:type="paragraph" w:customStyle="1" w:styleId="HeadingProcedure">
    <w:name w:val="Heading Procedure"/>
    <w:basedOn w:val="HeadingBase"/>
    <w:next w:val="Normal"/>
    <w:rsid w:val="00B84C1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84C16"/>
    <w:pPr>
      <w:spacing w:before="60" w:after="60"/>
    </w:pPr>
  </w:style>
  <w:style w:type="paragraph" w:styleId="ListContinue">
    <w:name w:val="List Continue"/>
    <w:basedOn w:val="List"/>
    <w:rsid w:val="00B84C16"/>
    <w:pPr>
      <w:ind w:firstLine="0"/>
    </w:pPr>
  </w:style>
  <w:style w:type="paragraph" w:customStyle="1" w:styleId="ListNote">
    <w:name w:val="List Note"/>
    <w:basedOn w:val="List"/>
    <w:rsid w:val="00B84C1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84C1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84C1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84C16"/>
    <w:rPr>
      <w:rFonts w:ascii="Courier New" w:hAnsi="Courier New"/>
    </w:rPr>
  </w:style>
  <w:style w:type="paragraph" w:customStyle="1" w:styleId="NoteBullet">
    <w:name w:val="Note Bullet"/>
    <w:basedOn w:val="Note"/>
    <w:rsid w:val="00B84C1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84C1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84C1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84C1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84C16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84C1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84C1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84C16"/>
    <w:rPr>
      <w:b/>
      <w:smallCaps/>
    </w:rPr>
  </w:style>
  <w:style w:type="paragraph" w:customStyle="1" w:styleId="TableListNumber">
    <w:name w:val="Table List Number"/>
    <w:basedOn w:val="ListNumber"/>
    <w:rsid w:val="00B84C1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84C1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84C16"/>
    <w:pPr>
      <w:numPr>
        <w:numId w:val="10"/>
      </w:numPr>
    </w:pPr>
  </w:style>
  <w:style w:type="paragraph" w:customStyle="1" w:styleId="ListAlpha2">
    <w:name w:val="List Alpha 2"/>
    <w:basedOn w:val="List2"/>
    <w:rsid w:val="00B84C16"/>
    <w:pPr>
      <w:numPr>
        <w:numId w:val="9"/>
      </w:numPr>
    </w:pPr>
  </w:style>
  <w:style w:type="paragraph" w:styleId="List2">
    <w:name w:val="List 2"/>
    <w:basedOn w:val="BodyText"/>
    <w:rsid w:val="00B84C1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84C1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84C1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84C16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B84C16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B84C16"/>
    <w:pPr>
      <w:numPr>
        <w:numId w:val="5"/>
      </w:numPr>
    </w:pPr>
  </w:style>
  <w:style w:type="paragraph" w:styleId="ListContinue2">
    <w:name w:val="List Continue 2"/>
    <w:basedOn w:val="List2"/>
    <w:rsid w:val="00B84C16"/>
    <w:pPr>
      <w:ind w:firstLine="0"/>
    </w:pPr>
  </w:style>
  <w:style w:type="paragraph" w:styleId="ListContinue3">
    <w:name w:val="List Continue 3"/>
    <w:basedOn w:val="List3"/>
    <w:rsid w:val="00B84C16"/>
    <w:pPr>
      <w:ind w:left="1021" w:firstLine="0"/>
    </w:pPr>
  </w:style>
  <w:style w:type="paragraph" w:styleId="ListContinue4">
    <w:name w:val="List Continue 4"/>
    <w:basedOn w:val="List4"/>
    <w:rsid w:val="00B84C16"/>
    <w:pPr>
      <w:ind w:firstLine="0"/>
    </w:pPr>
  </w:style>
  <w:style w:type="paragraph" w:styleId="ListContinue5">
    <w:name w:val="List Continue 5"/>
    <w:basedOn w:val="List5"/>
    <w:rsid w:val="00B84C16"/>
    <w:pPr>
      <w:ind w:firstLine="0"/>
    </w:pPr>
  </w:style>
  <w:style w:type="paragraph" w:styleId="ListNumber3">
    <w:name w:val="List Number 3"/>
    <w:basedOn w:val="List3"/>
    <w:rsid w:val="00B84C16"/>
    <w:pPr>
      <w:numPr>
        <w:numId w:val="6"/>
      </w:numPr>
    </w:pPr>
  </w:style>
  <w:style w:type="paragraph" w:styleId="ListNumber4">
    <w:name w:val="List Number 4"/>
    <w:basedOn w:val="List4"/>
    <w:rsid w:val="00B84C16"/>
    <w:pPr>
      <w:numPr>
        <w:numId w:val="7"/>
      </w:numPr>
    </w:pPr>
  </w:style>
  <w:style w:type="paragraph" w:styleId="ListNumber5">
    <w:name w:val="List Number 5"/>
    <w:basedOn w:val="List5"/>
    <w:rsid w:val="00B84C16"/>
    <w:pPr>
      <w:numPr>
        <w:numId w:val="8"/>
      </w:numPr>
    </w:pPr>
  </w:style>
  <w:style w:type="paragraph" w:styleId="BlockText">
    <w:name w:val="Block Text"/>
    <w:basedOn w:val="Normal"/>
    <w:rsid w:val="00B84C1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84C1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84C16"/>
    <w:rPr>
      <w:sz w:val="16"/>
      <w:vertAlign w:val="superscript"/>
    </w:rPr>
  </w:style>
  <w:style w:type="character" w:customStyle="1" w:styleId="Symbols">
    <w:name w:val="Symbols"/>
    <w:basedOn w:val="DefaultParagraphFont"/>
    <w:rsid w:val="00B84C16"/>
    <w:rPr>
      <w:rFonts w:ascii="Symbol" w:hAnsi="Symbol"/>
    </w:rPr>
  </w:style>
  <w:style w:type="character" w:customStyle="1" w:styleId="MenuOptions">
    <w:name w:val="Menu Options"/>
    <w:basedOn w:val="DefaultParagraphFont"/>
    <w:rsid w:val="00B84C1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84C16"/>
    <w:rPr>
      <w:b/>
    </w:rPr>
  </w:style>
  <w:style w:type="character" w:customStyle="1" w:styleId="Underlined">
    <w:name w:val="Underlined"/>
    <w:basedOn w:val="DefaultParagraphFont"/>
    <w:rsid w:val="00B84C16"/>
    <w:rPr>
      <w:u w:val="single"/>
    </w:rPr>
  </w:style>
  <w:style w:type="paragraph" w:customStyle="1" w:styleId="TableBodyTextRight">
    <w:name w:val="Table Body Text Right"/>
    <w:basedOn w:val="TableBodyText"/>
    <w:rsid w:val="00B84C1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84C16"/>
    <w:rPr>
      <w:sz w:val="18"/>
    </w:rPr>
  </w:style>
  <w:style w:type="paragraph" w:customStyle="1" w:styleId="BodySmallRight">
    <w:name w:val="Body Small Right"/>
    <w:basedOn w:val="BodyTextRight"/>
    <w:rsid w:val="00B84C16"/>
    <w:rPr>
      <w:sz w:val="18"/>
      <w:szCs w:val="18"/>
    </w:rPr>
  </w:style>
  <w:style w:type="paragraph" w:customStyle="1" w:styleId="MarginEdition">
    <w:name w:val="Margin Edition"/>
    <w:basedOn w:val="MarginNote"/>
    <w:rsid w:val="00B84C1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84C16"/>
    <w:rPr>
      <w:sz w:val="2"/>
      <w:szCs w:val="2"/>
    </w:rPr>
  </w:style>
  <w:style w:type="character" w:customStyle="1" w:styleId="Small">
    <w:name w:val="Small"/>
    <w:basedOn w:val="DefaultParagraphFont"/>
    <w:rsid w:val="00B84C16"/>
    <w:rPr>
      <w:sz w:val="16"/>
    </w:rPr>
  </w:style>
  <w:style w:type="paragraph" w:customStyle="1" w:styleId="WideTable">
    <w:name w:val="Wide Table"/>
    <w:basedOn w:val="Normal"/>
    <w:rsid w:val="00B84C1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84C16"/>
  </w:style>
  <w:style w:type="paragraph" w:styleId="Quote">
    <w:name w:val="Quote"/>
    <w:basedOn w:val="Heading1"/>
    <w:link w:val="QuoteChar"/>
    <w:qFormat/>
    <w:rsid w:val="00B84C1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84C1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84C16"/>
    <w:pPr>
      <w:pageBreakBefore/>
    </w:pPr>
  </w:style>
  <w:style w:type="paragraph" w:customStyle="1" w:styleId="Border">
    <w:name w:val="Border"/>
    <w:basedOn w:val="Normal"/>
    <w:qFormat/>
    <w:rsid w:val="00B84C1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84C1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84C1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84C1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84C1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84C1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84C1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84C1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84C1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84C16"/>
    <w:rPr>
      <w:u w:val="single"/>
    </w:rPr>
  </w:style>
  <w:style w:type="character" w:customStyle="1" w:styleId="BoldandItalics">
    <w:name w:val="Bold and Italics"/>
    <w:qFormat/>
    <w:rsid w:val="00B84C16"/>
    <w:rPr>
      <w:b/>
      <w:i/>
      <w:u w:val="none"/>
    </w:rPr>
  </w:style>
  <w:style w:type="paragraph" w:styleId="BalloonText">
    <w:name w:val="Balloon Text"/>
    <w:basedOn w:val="Normal"/>
    <w:link w:val="BalloonTextChar"/>
    <w:rsid w:val="00B84C1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84C1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84C1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84C1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84C1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84C1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84C16"/>
    <w:pPr>
      <w:spacing w:before="0" w:after="0"/>
    </w:pPr>
  </w:style>
  <w:style w:type="paragraph" w:customStyle="1" w:styleId="BodyTextBold">
    <w:name w:val="Body Text Bold"/>
    <w:basedOn w:val="BodyText"/>
    <w:qFormat/>
    <w:rsid w:val="00B84C16"/>
    <w:rPr>
      <w:b/>
    </w:rPr>
  </w:style>
  <w:style w:type="character" w:styleId="Hyperlink">
    <w:name w:val="Hyperlink"/>
    <w:basedOn w:val="DefaultParagraphFont"/>
    <w:uiPriority w:val="99"/>
    <w:unhideWhenUsed/>
    <w:rsid w:val="00D31A8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786</Words>
  <Characters>5060</Characters>
  <Application>Microsoft Office Word</Application>
  <DocSecurity>0</DocSecurity>
  <Lines>144</Lines>
  <Paragraphs>129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SISFFIT034 Assess client movement and provide exercise advice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2022-12-13T01:53:00Z</dcterms:created>
  <dcterms:modified xsi:type="dcterms:W3CDTF">2022-12-13T01:53:00Z</dcterms:modified>
</cp:coreProperties>
</file>