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EED" w:rsidP="00CF3EED">
      <w:pPr>
        <w:pStyle w:val="Title"/>
      </w:pPr>
      <w:r>
        <w:fldChar w:fldCharType="begin"/>
      </w:r>
      <w:r>
        <w:instrText xml:space="preserve"> TITLE   \* MERGEFORMAT </w:instrText>
      </w:r>
      <w:r>
        <w:fldChar w:fldCharType="separate"/>
      </w:r>
      <w:r>
        <w:t>SISCAQU016 Manage pool water quality</w:t>
      </w:r>
      <w:r>
        <w:fldChar w:fldCharType="end"/>
      </w:r>
    </w:p>
    <w:p w:rsidR="00CF3EED" w:rsidP="00CF3EED">
      <w:pPr>
        <w:pStyle w:val="Version"/>
        <w:sectPr w:rsidSect="00C928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8B9" w:rsidP="00C928B9">
      <w:pPr>
        <w:pStyle w:val="SuperHeading"/>
      </w:pPr>
      <w:r w:rsidRPr="00C928B9">
        <w:t>SISCAQU016 Manage pool water quality</w:t>
      </w:r>
    </w:p>
    <w:p w:rsidR="00000000" w:rsidRPr="00C928B9" w:rsidP="00C928B9">
      <w:pPr>
        <w:pStyle w:val="Heading1"/>
      </w:pPr>
      <w:bookmarkStart w:id="1" w:name="O_1264993"/>
      <w:bookmarkEnd w:id="1"/>
      <w:r w:rsidRPr="00C928B9">
        <w:t>Modification History</w:t>
      </w:r>
    </w:p>
    <w:p w:rsidR="00000000" w:rsidRPr="00C928B9" w:rsidP="00CF3EED">
      <w:pPr>
        <w:pStyle w:val="BodyText"/>
      </w:pPr>
      <w:r w:rsidRPr="00C928B9">
        <w:t>Not applicable.</w:t>
      </w:r>
    </w:p>
    <w:p w:rsidR="00000000" w:rsidRPr="00C928B9" w:rsidP="00C928B9">
      <w:pPr>
        <w:pStyle w:val="Heading1"/>
      </w:pPr>
      <w:bookmarkStart w:id="2" w:name="O_1265000"/>
      <w:bookmarkEnd w:id="2"/>
      <w:r w:rsidRPr="00C928B9">
        <w:t>Application</w:t>
      </w:r>
    </w:p>
    <w:p w:rsidR="00000000" w:rsidRPr="00C928B9" w:rsidP="00CF3EED">
      <w:pPr>
        <w:pStyle w:val="BodyText"/>
      </w:pPr>
      <w:r w:rsidRPr="00C928B9">
        <w:t>This unit describes the performance outcomes, skills and knowledge required to determine pool water maintenance, monitoring and treatment requirements using operational and regulatory spec</w:t>
      </w:r>
      <w:r w:rsidRPr="00C928B9">
        <w:t>ifications as the basis. It covers skills to monitor test data, and treat water on an ongoing basis. It requires the ability to evaluate water quality problems and contamination incidents, and to respond with corrective chemical treatments.</w:t>
      </w:r>
    </w:p>
    <w:p w:rsidR="00000000" w:rsidRPr="00C928B9" w:rsidP="00CF3EED">
      <w:pPr>
        <w:pStyle w:val="BodyText"/>
      </w:pPr>
      <w:r w:rsidRPr="00C928B9">
        <w:t>This unit appli</w:t>
      </w:r>
      <w:r w:rsidRPr="00C928B9">
        <w:t>es to public aquatic facilities including those operated by commercial, not-for-profit, community and government organisations. It applies to senior technical and operational staff and managers who work independently or with limited guidance from others, t</w:t>
      </w:r>
      <w:r w:rsidRPr="00C928B9">
        <w:t>aking responsibility for their own work functions and outputs.</w:t>
      </w:r>
    </w:p>
    <w:p w:rsidR="00000000" w:rsidRPr="00C928B9" w:rsidP="00CF3EED">
      <w:pPr>
        <w:pStyle w:val="BodyText"/>
      </w:pPr>
      <w:r w:rsidRPr="00C928B9">
        <w:t>The skills in this unit must be applied in accordance with Commonwealth and State or Territory legislation, Australian standards and industry codes of practice.</w:t>
      </w:r>
    </w:p>
    <w:p w:rsidR="00000000" w:rsidRPr="00C928B9" w:rsidP="00CF3EED">
      <w:pPr>
        <w:pStyle w:val="BodyText"/>
      </w:pPr>
      <w:r w:rsidRPr="00C928B9">
        <w:t>No occupational licensing, certi</w:t>
      </w:r>
      <w:r w:rsidRPr="00C928B9">
        <w:t>fication or specific legislative requirements apply to this unit at the time of publication.</w:t>
      </w:r>
    </w:p>
    <w:p w:rsidR="00000000" w:rsidRPr="00C928B9" w:rsidP="00C928B9">
      <w:pPr>
        <w:pStyle w:val="Heading1"/>
      </w:pPr>
      <w:bookmarkStart w:id="3" w:name="O_1264999"/>
      <w:bookmarkEnd w:id="3"/>
      <w:r w:rsidRPr="00C928B9">
        <w:t>Pre-requisite Unit</w:t>
      </w:r>
    </w:p>
    <w:p w:rsidR="00000000" w:rsidRPr="00C928B9" w:rsidP="00CF3EED">
      <w:pPr>
        <w:pStyle w:val="BodyText"/>
      </w:pPr>
      <w:r w:rsidRPr="00C928B9">
        <w:t>Nil</w:t>
      </w:r>
    </w:p>
    <w:p w:rsidR="00000000" w:rsidRPr="00C928B9" w:rsidP="00C928B9">
      <w:pPr>
        <w:pStyle w:val="Heading1"/>
      </w:pPr>
      <w:bookmarkStart w:id="4" w:name="O_1264998"/>
      <w:bookmarkEnd w:id="4"/>
      <w:r w:rsidRPr="00C928B9">
        <w:t>Competency Field</w:t>
      </w:r>
    </w:p>
    <w:p w:rsidR="00000000" w:rsidRPr="00C928B9" w:rsidP="00CF3EED">
      <w:pPr>
        <w:pStyle w:val="BodyText"/>
      </w:pPr>
      <w:r w:rsidRPr="00C928B9">
        <w:t>Aquatics</w:t>
      </w:r>
    </w:p>
    <w:p w:rsidR="00000000" w:rsidRPr="00C928B9" w:rsidP="00C928B9">
      <w:pPr>
        <w:pStyle w:val="Heading1"/>
      </w:pPr>
      <w:bookmarkStart w:id="5" w:name="O_1264997"/>
      <w:bookmarkEnd w:id="5"/>
      <w:r w:rsidRPr="00C928B9">
        <w:t>Unit Sector</w:t>
      </w:r>
    </w:p>
    <w:p w:rsidR="00000000" w:rsidRPr="00C928B9" w:rsidP="00CF3EED">
      <w:pPr>
        <w:pStyle w:val="BodyText"/>
      </w:pPr>
      <w:r w:rsidRPr="00C928B9">
        <w:t>Community Recreation</w:t>
      </w:r>
    </w:p>
    <w:p w:rsidR="00000000" w:rsidRPr="00C928B9" w:rsidP="00C928B9">
      <w:pPr>
        <w:pStyle w:val="Heading1"/>
      </w:pPr>
      <w:bookmarkStart w:id="6" w:name="O_1264996"/>
      <w:bookmarkEnd w:id="6"/>
      <w:r w:rsidRPr="00C928B9">
        <w:t>Eleme</w:t>
      </w:r>
      <w:r w:rsidRPr="00C928B9">
        <w:t>nts and Performance Criteria</w:t>
      </w:r>
    </w:p>
    <w:tbl>
      <w:tblPr>
        <w:tblW w:w="0" w:type="auto"/>
        <w:tblLayout w:type="fixed"/>
        <w:tblCellMar>
          <w:left w:w="62" w:type="dxa"/>
          <w:right w:w="62" w:type="dxa"/>
        </w:tblCellMar>
        <w:tblLook w:val="0000"/>
      </w:tblPr>
      <w:tblGrid>
        <w:gridCol w:w="2694"/>
        <w:gridCol w:w="6350"/>
      </w:tblGrid>
      <w:tr w:rsidTr="00C928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28B9" w:rsidP="00C928B9">
            <w:pPr>
              <w:pStyle w:val="BodyText"/>
            </w:pPr>
            <w:r w:rsidRPr="00C928B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928B9">
            <w:pPr>
              <w:pStyle w:val="BodyText"/>
              <w:rPr>
                <w:lang w:val="en-NZ"/>
              </w:rPr>
            </w:pPr>
            <w:r w:rsidRPr="00C928B9">
              <w:rPr>
                <w:rStyle w:val="SpecialBold"/>
              </w:rPr>
              <w:t>PERFORMANCE</w:t>
            </w:r>
            <w:r w:rsidRPr="00C928B9">
              <w:t xml:space="preserve"> </w:t>
            </w:r>
            <w:r w:rsidRPr="00C928B9">
              <w:rPr>
                <w:rStyle w:val="SpecialBold"/>
              </w:rPr>
              <w:t>CRITERIA</w:t>
            </w:r>
          </w:p>
        </w:tc>
      </w:tr>
      <w:tr w:rsidTr="00C928B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928B9" w:rsidP="00C928B9">
            <w:pPr>
              <w:pStyle w:val="BodyText"/>
            </w:pPr>
            <w:r w:rsidRPr="00C928B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928B9">
            <w:pPr>
              <w:pStyle w:val="BodyText"/>
              <w:rPr>
                <w:lang w:val="en-NZ"/>
              </w:rPr>
            </w:pPr>
            <w:r w:rsidRPr="00C928B9">
              <w:rPr>
                <w:rStyle w:val="Emphasis"/>
              </w:rPr>
              <w:t>Performance criteria describe the performance needed to demonstrate achievement of the element.</w:t>
            </w:r>
          </w:p>
        </w:tc>
      </w:tr>
      <w:tr w:rsidTr="00C928B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28B9">
            <w:pPr>
              <w:pStyle w:val="List"/>
              <w:rPr>
                <w:lang w:val="en-NZ"/>
              </w:rPr>
            </w:pPr>
            <w:r w:rsidRPr="00C928B9">
              <w:t>1.  Determine pool water maintenance requirements.</w:t>
            </w:r>
          </w:p>
        </w:tc>
        <w:tc>
          <w:tcPr>
            <w:tcW w:w="6350" w:type="dxa"/>
            <w:tcBorders>
              <w:top w:val="nil"/>
              <w:left w:val="nil"/>
              <w:bottom w:val="nil"/>
              <w:right w:val="nil"/>
            </w:tcBorders>
            <w:tcMar>
              <w:top w:w="0" w:type="dxa"/>
              <w:left w:w="62" w:type="dxa"/>
              <w:bottom w:w="0" w:type="dxa"/>
              <w:right w:w="62" w:type="dxa"/>
            </w:tcMar>
          </w:tcPr>
          <w:p w:rsidR="00000000" w:rsidRPr="00C928B9" w:rsidP="00C928B9">
            <w:pPr>
              <w:pStyle w:val="List"/>
            </w:pPr>
            <w:r w:rsidRPr="00C928B9">
              <w:t>1.1. Interpret pool and water treatment plant operational specifications to confirm pool water maintenance requirements.</w:t>
            </w:r>
          </w:p>
          <w:p w:rsidR="00000000" w:rsidRPr="00C928B9" w:rsidP="00C928B9">
            <w:pPr>
              <w:pStyle w:val="List"/>
            </w:pPr>
            <w:r w:rsidRPr="00C928B9">
              <w:t xml:space="preserve">1.2. Access public health regulatory documents to ascertain prescribed and recommended pool water maintenance requirements specific to </w:t>
            </w:r>
            <w:r w:rsidRPr="00C928B9">
              <w:t>the facility.</w:t>
            </w:r>
          </w:p>
          <w:p w:rsidR="00000000" w:rsidP="00C928B9">
            <w:pPr>
              <w:pStyle w:val="List"/>
              <w:rPr>
                <w:lang w:val="en-NZ"/>
              </w:rPr>
            </w:pPr>
            <w:r w:rsidRPr="00C928B9">
              <w:t>1.3. Seek assistance from manufacturer and regulatory bodies as needed to confirm requirements.</w:t>
            </w:r>
          </w:p>
        </w:tc>
      </w:tr>
      <w:tr w:rsidTr="00C928B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28B9">
            <w:pPr>
              <w:pStyle w:val="List"/>
              <w:rPr>
                <w:lang w:val="en-NZ"/>
              </w:rPr>
            </w:pPr>
            <w:r w:rsidRPr="00C928B9">
              <w:t>2.  Maintain and monitor pool water quality.</w:t>
            </w:r>
          </w:p>
        </w:tc>
        <w:tc>
          <w:tcPr>
            <w:tcW w:w="6350" w:type="dxa"/>
            <w:tcBorders>
              <w:top w:val="nil"/>
              <w:left w:val="nil"/>
              <w:bottom w:val="nil"/>
              <w:right w:val="nil"/>
            </w:tcBorders>
            <w:tcMar>
              <w:top w:w="0" w:type="dxa"/>
              <w:left w:w="62" w:type="dxa"/>
              <w:bottom w:w="0" w:type="dxa"/>
              <w:right w:w="62" w:type="dxa"/>
            </w:tcMar>
          </w:tcPr>
          <w:p w:rsidR="00000000" w:rsidRPr="00C928B9" w:rsidP="00C928B9">
            <w:pPr>
              <w:pStyle w:val="List"/>
            </w:pPr>
            <w:r w:rsidRPr="00C928B9">
              <w:t>2.1. Develop schedules for pool water monitoring and treatment in line with operational and regulato</w:t>
            </w:r>
            <w:r w:rsidRPr="00C928B9">
              <w:t>ry specifications.</w:t>
            </w:r>
          </w:p>
          <w:p w:rsidR="00000000" w:rsidRPr="00C928B9" w:rsidP="00C928B9">
            <w:pPr>
              <w:pStyle w:val="List"/>
            </w:pPr>
            <w:r w:rsidRPr="00C928B9">
              <w:t>2.2. Calculate quantity of chemicals required to maintain optimum pool water quality and clarity according to operational specifications.</w:t>
            </w:r>
          </w:p>
          <w:p w:rsidR="00000000" w:rsidRPr="00C928B9" w:rsidP="00C928B9">
            <w:pPr>
              <w:pStyle w:val="List"/>
            </w:pPr>
            <w:r w:rsidRPr="00C928B9">
              <w:t>2.3. Operate chemical dos</w:t>
            </w:r>
            <w:r w:rsidRPr="00C928B9">
              <w:t>ing system according to operational specifications of water treatment plant.</w:t>
            </w:r>
          </w:p>
          <w:p w:rsidR="00000000" w:rsidRPr="00C928B9" w:rsidP="00C928B9">
            <w:pPr>
              <w:pStyle w:val="List"/>
            </w:pPr>
            <w:r w:rsidRPr="00C928B9">
              <w:t>2.4. Complete periodic and remedial backwash to ensure functionality of filtration system according to operational specifications.</w:t>
            </w:r>
          </w:p>
          <w:p w:rsidR="00000000" w:rsidRPr="00C928B9" w:rsidP="00C928B9">
            <w:pPr>
              <w:pStyle w:val="List"/>
            </w:pPr>
            <w:r w:rsidRPr="00C928B9">
              <w:t>2.5. Monitor and evaluate pool water test data a</w:t>
            </w:r>
            <w:r w:rsidRPr="00C928B9">
              <w:t>nd visual inspection reports against normal reference range.</w:t>
            </w:r>
          </w:p>
          <w:p w:rsidR="00000000" w:rsidP="00C928B9">
            <w:pPr>
              <w:pStyle w:val="List"/>
              <w:rPr>
                <w:lang w:val="en-NZ"/>
              </w:rPr>
            </w:pPr>
            <w:r w:rsidRPr="00C928B9">
              <w:t>2.6. Identify any significant variation and determine need for corrective action.</w:t>
            </w:r>
          </w:p>
        </w:tc>
      </w:tr>
      <w:tr w:rsidTr="00C928B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28B9">
            <w:pPr>
              <w:pStyle w:val="List"/>
              <w:rPr>
                <w:lang w:val="en-NZ"/>
              </w:rPr>
            </w:pPr>
            <w:r w:rsidRPr="00C928B9">
              <w:t>3.  Rectify pool water problems.</w:t>
            </w:r>
          </w:p>
        </w:tc>
        <w:tc>
          <w:tcPr>
            <w:tcW w:w="6350" w:type="dxa"/>
            <w:tcBorders>
              <w:top w:val="nil"/>
              <w:left w:val="nil"/>
              <w:bottom w:val="nil"/>
              <w:right w:val="nil"/>
            </w:tcBorders>
            <w:tcMar>
              <w:top w:w="0" w:type="dxa"/>
              <w:left w:w="62" w:type="dxa"/>
              <w:bottom w:w="0" w:type="dxa"/>
              <w:right w:w="62" w:type="dxa"/>
            </w:tcMar>
          </w:tcPr>
          <w:p w:rsidR="00000000" w:rsidRPr="00C928B9" w:rsidP="00C928B9">
            <w:pPr>
              <w:pStyle w:val="List"/>
            </w:pPr>
            <w:r w:rsidRPr="00C928B9">
              <w:t>3.1. Determine significance of pool water problem and urgency of corrective act</w:t>
            </w:r>
            <w:r w:rsidRPr="00C928B9">
              <w:t>ion to plan response.</w:t>
            </w:r>
          </w:p>
          <w:p w:rsidR="00000000" w:rsidRPr="00C928B9" w:rsidP="00C928B9">
            <w:pPr>
              <w:pStyle w:val="List"/>
            </w:pPr>
            <w:r w:rsidRPr="00C928B9">
              <w:t>3.2. Identify chemical water imbalance from data, determine mix of chemicals required to rectify, and calculate quantity.</w:t>
            </w:r>
          </w:p>
          <w:p w:rsidR="00000000" w:rsidRPr="00C928B9" w:rsidP="00C928B9">
            <w:pPr>
              <w:pStyle w:val="List"/>
            </w:pPr>
            <w:r w:rsidRPr="00C928B9">
              <w:t>3.3. Respond to emergency contamination incidents according to operational and regulatory response procedures.</w:t>
            </w:r>
          </w:p>
          <w:p w:rsidR="00000000" w:rsidP="00C928B9">
            <w:pPr>
              <w:pStyle w:val="List"/>
              <w:rPr>
                <w:lang w:val="en-NZ"/>
              </w:rPr>
            </w:pPr>
            <w:r w:rsidRPr="00C928B9">
              <w:t>3</w:t>
            </w:r>
            <w:r w:rsidRPr="00C928B9">
              <w:t>.4. Calculate quantity of chemicals and use remedial dosing methods suited to the contamination circumstance and according to operational and regulatory specifications.</w:t>
            </w:r>
          </w:p>
        </w:tc>
      </w:tr>
      <w:tr w:rsidTr="00C928B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28B9">
            <w:pPr>
              <w:pStyle w:val="List"/>
              <w:rPr>
                <w:lang w:val="en-NZ"/>
              </w:rPr>
            </w:pPr>
            <w:r w:rsidRPr="00C928B9">
              <w:t>4.  Handle and store chemicals safely.</w:t>
            </w:r>
          </w:p>
        </w:tc>
        <w:tc>
          <w:tcPr>
            <w:tcW w:w="6350" w:type="dxa"/>
            <w:tcBorders>
              <w:top w:val="nil"/>
              <w:left w:val="nil"/>
              <w:bottom w:val="nil"/>
              <w:right w:val="nil"/>
            </w:tcBorders>
            <w:tcMar>
              <w:top w:w="0" w:type="dxa"/>
              <w:left w:w="62" w:type="dxa"/>
              <w:bottom w:w="0" w:type="dxa"/>
              <w:right w:w="62" w:type="dxa"/>
            </w:tcMar>
          </w:tcPr>
          <w:p w:rsidR="00000000" w:rsidRPr="00C928B9" w:rsidP="00C928B9">
            <w:pPr>
              <w:pStyle w:val="List"/>
            </w:pPr>
            <w:r w:rsidRPr="00C928B9">
              <w:t>4.1. Select and fit personal protective equipme</w:t>
            </w:r>
            <w:r w:rsidRPr="00C928B9">
              <w:t>nt and handle chemicals according to manufacturer instructions and work health and safety (WHS) practices.</w:t>
            </w:r>
          </w:p>
          <w:p w:rsidR="00000000" w:rsidRPr="00C928B9" w:rsidP="00C928B9">
            <w:pPr>
              <w:pStyle w:val="List"/>
            </w:pPr>
            <w:r w:rsidRPr="00C928B9">
              <w:t>4.2. Store chemicals in environmental conditions specified in manufacturer instructions and regulatory specifications.</w:t>
            </w:r>
          </w:p>
          <w:p w:rsidR="00000000" w:rsidRPr="00C928B9" w:rsidP="00C928B9">
            <w:pPr>
              <w:pStyle w:val="List"/>
            </w:pPr>
            <w:r w:rsidRPr="00C928B9">
              <w:t xml:space="preserve">4.3. Dispose of chemicals and </w:t>
            </w:r>
            <w:r w:rsidRPr="00C928B9">
              <w:t>storage containers according to manufacturer and regulatory specifications.</w:t>
            </w:r>
          </w:p>
          <w:p w:rsidR="00000000" w:rsidRPr="00C928B9" w:rsidP="00C928B9">
            <w:pPr>
              <w:pStyle w:val="List"/>
            </w:pPr>
            <w:r w:rsidRPr="00C928B9">
              <w:t>4.4. Record quantities of chemicals used, on-hand, and disposed of in chemical register.</w:t>
            </w:r>
          </w:p>
          <w:p w:rsidR="00000000" w:rsidP="00C928B9">
            <w:pPr>
              <w:pStyle w:val="List"/>
              <w:rPr>
                <w:lang w:val="en-NZ"/>
              </w:rPr>
            </w:pPr>
            <w:r w:rsidRPr="00C928B9">
              <w:t>4.5. Secure chemical storage facility when unattended according to organisational procedure</w:t>
            </w:r>
            <w:r w:rsidRPr="00C928B9">
              <w:t>s.</w:t>
            </w:r>
          </w:p>
        </w:tc>
      </w:tr>
      <w:tr w:rsidTr="00C928B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928B9">
            <w:pPr>
              <w:pStyle w:val="List"/>
              <w:rPr>
                <w:lang w:val="en-NZ"/>
              </w:rPr>
            </w:pPr>
            <w:r w:rsidRPr="00C928B9">
              <w:t xml:space="preserve">5.  Complete pool water </w:t>
            </w:r>
            <w:r w:rsidRPr="00C928B9">
              <w:t>maintenance records and reports.</w:t>
            </w:r>
          </w:p>
        </w:tc>
        <w:tc>
          <w:tcPr>
            <w:tcW w:w="6350" w:type="dxa"/>
            <w:tcBorders>
              <w:top w:val="nil"/>
              <w:left w:val="nil"/>
              <w:bottom w:val="nil"/>
              <w:right w:val="nil"/>
            </w:tcBorders>
            <w:tcMar>
              <w:top w:w="0" w:type="dxa"/>
              <w:left w:w="62" w:type="dxa"/>
              <w:bottom w:w="0" w:type="dxa"/>
              <w:right w:w="62" w:type="dxa"/>
            </w:tcMar>
          </w:tcPr>
          <w:p w:rsidR="00000000" w:rsidRPr="00C928B9" w:rsidP="00C928B9">
            <w:pPr>
              <w:pStyle w:val="List"/>
            </w:pPr>
            <w:r w:rsidRPr="00C928B9">
              <w:t xml:space="preserve">5.1. Record accurate details of all monitoring, evaluation and </w:t>
            </w:r>
            <w:r w:rsidRPr="00C928B9">
              <w:t>treatment actions including details of chemicals and dosage administered.</w:t>
            </w:r>
          </w:p>
          <w:p w:rsidR="00000000" w:rsidRPr="00C928B9" w:rsidP="00C928B9">
            <w:pPr>
              <w:pStyle w:val="List"/>
            </w:pPr>
            <w:r w:rsidRPr="00C928B9">
              <w:t>5.2. Complete facility incident reports and mandatory repo</w:t>
            </w:r>
            <w:r w:rsidRPr="00C928B9">
              <w:t>rts to regulatory authorities.</w:t>
            </w:r>
          </w:p>
          <w:p w:rsidR="00000000" w:rsidRPr="00C928B9" w:rsidP="00C928B9">
            <w:pPr>
              <w:pStyle w:val="List"/>
            </w:pPr>
            <w:r w:rsidRPr="00C928B9">
              <w:t>5.3. Maintain records for effective access and according to operational and regulatory specifications.</w:t>
            </w:r>
          </w:p>
        </w:tc>
      </w:tr>
    </w:tbl>
    <w:p w:rsidR="00000000" w:rsidRPr="00C928B9" w:rsidP="00C928B9">
      <w:pPr>
        <w:pStyle w:val="BodyText"/>
      </w:pPr>
    </w:p>
    <w:p w:rsidR="00000000" w:rsidRPr="00C928B9" w:rsidP="00C928B9">
      <w:pPr>
        <w:pStyle w:val="AllowPageBreak"/>
      </w:pPr>
    </w:p>
    <w:p w:rsidR="00000000" w:rsidRPr="00C928B9" w:rsidP="00C928B9">
      <w:pPr>
        <w:pStyle w:val="Heading1"/>
      </w:pPr>
      <w:bookmarkStart w:id="7" w:name="O_1264995"/>
      <w:bookmarkEnd w:id="7"/>
      <w:r w:rsidRPr="00C928B9">
        <w:t>Foundation Skills</w:t>
      </w:r>
    </w:p>
    <w:tbl>
      <w:tblPr>
        <w:tblW w:w="0" w:type="auto"/>
        <w:tblLayout w:type="fixed"/>
        <w:tblCellMar>
          <w:left w:w="62" w:type="dxa"/>
          <w:right w:w="62" w:type="dxa"/>
        </w:tblCellMar>
        <w:tblLook w:val="0000"/>
      </w:tblPr>
      <w:tblGrid>
        <w:gridCol w:w="2694"/>
        <w:gridCol w:w="6350"/>
      </w:tblGrid>
      <w:tr w:rsidTr="00C928B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928B9">
            <w:pPr>
              <w:pStyle w:val="BodyText"/>
              <w:rPr>
                <w:lang w:val="en-NZ"/>
              </w:rPr>
            </w:pPr>
            <w:r w:rsidRPr="00C928B9">
              <w:rPr>
                <w:rStyle w:val="Emphasis"/>
              </w:rPr>
              <w:t>Foundation sk</w:t>
            </w:r>
            <w:r w:rsidRPr="00C928B9">
              <w:rPr>
                <w:rStyle w:val="Emphasis"/>
              </w:rPr>
              <w:t>ills essential to performance in this unit, but not explicit in the performance criteria are listed here, along with a brief context statement.</w:t>
            </w:r>
          </w:p>
        </w:tc>
      </w:tr>
      <w:tr w:rsidTr="00C928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28B9" w:rsidP="00C928B9">
            <w:pPr>
              <w:pStyle w:val="BodyText"/>
            </w:pPr>
            <w:r w:rsidRPr="00C928B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928B9">
            <w:pPr>
              <w:pStyle w:val="BodyText"/>
              <w:rPr>
                <w:lang w:val="en-NZ"/>
              </w:rPr>
            </w:pPr>
            <w:r w:rsidRPr="00C928B9">
              <w:rPr>
                <w:rStyle w:val="SpecialBold"/>
              </w:rPr>
              <w:t>DESCRIPTION</w:t>
            </w:r>
          </w:p>
        </w:tc>
      </w:tr>
      <w:tr w:rsidTr="00C928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28B9">
            <w:pPr>
              <w:pStyle w:val="BodyText"/>
              <w:rPr>
                <w:lang w:val="en-NZ"/>
              </w:rPr>
            </w:pPr>
            <w:r w:rsidRPr="00C928B9">
              <w:t>Reading skills to:</w:t>
            </w:r>
          </w:p>
        </w:tc>
        <w:tc>
          <w:tcPr>
            <w:tcW w:w="6350" w:type="dxa"/>
            <w:tcBorders>
              <w:top w:val="nil"/>
              <w:left w:val="nil"/>
              <w:bottom w:val="nil"/>
              <w:right w:val="nil"/>
            </w:tcBorders>
            <w:tcMar>
              <w:top w:w="0" w:type="dxa"/>
              <w:left w:w="62" w:type="dxa"/>
              <w:bottom w:w="0" w:type="dxa"/>
              <w:right w:w="62" w:type="dxa"/>
            </w:tcMar>
          </w:tcPr>
          <w:p w:rsidR="00000000" w:rsidP="00C928B9">
            <w:pPr>
              <w:pStyle w:val="ListBullet"/>
              <w:rPr>
                <w:lang w:val="en-NZ"/>
              </w:rPr>
            </w:pPr>
            <w:r w:rsidRPr="00C928B9">
              <w:t>interpret complex and potentially unfamiliar technical specifications and regulatory information.</w:t>
            </w:r>
          </w:p>
        </w:tc>
      </w:tr>
      <w:tr w:rsidTr="00C928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28B9">
            <w:pPr>
              <w:pStyle w:val="BodyText"/>
              <w:rPr>
                <w:lang w:val="en-NZ"/>
              </w:rPr>
            </w:pPr>
            <w:r w:rsidRPr="00C928B9">
              <w:t>Writing skills to:</w:t>
            </w:r>
          </w:p>
        </w:tc>
        <w:tc>
          <w:tcPr>
            <w:tcW w:w="6350" w:type="dxa"/>
            <w:tcBorders>
              <w:top w:val="nil"/>
              <w:left w:val="nil"/>
              <w:bottom w:val="nil"/>
              <w:right w:val="nil"/>
            </w:tcBorders>
            <w:tcMar>
              <w:top w:w="0" w:type="dxa"/>
              <w:left w:w="62" w:type="dxa"/>
              <w:bottom w:w="0" w:type="dxa"/>
              <w:right w:w="62" w:type="dxa"/>
            </w:tcMar>
          </w:tcPr>
          <w:p w:rsidR="00000000" w:rsidP="00C928B9">
            <w:pPr>
              <w:pStyle w:val="ListBullet"/>
              <w:rPr>
                <w:lang w:val="en-NZ"/>
              </w:rPr>
            </w:pPr>
            <w:r w:rsidRPr="00C928B9">
              <w:t>use fundamental sentence structure, technical terminology and abbreviations to complete forms and reports that require factual informatio</w:t>
            </w:r>
            <w:r w:rsidRPr="00C928B9">
              <w:t>n.</w:t>
            </w:r>
          </w:p>
        </w:tc>
      </w:tr>
      <w:tr w:rsidTr="00C928B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28B9">
            <w:pPr>
              <w:pStyle w:val="BodyText"/>
              <w:rPr>
                <w:lang w:val="en-NZ"/>
              </w:rPr>
            </w:pPr>
            <w:r w:rsidRPr="00C928B9">
              <w:t>Numeracy skills to:</w:t>
            </w:r>
          </w:p>
        </w:tc>
        <w:tc>
          <w:tcPr>
            <w:tcW w:w="6350" w:type="dxa"/>
            <w:tcBorders>
              <w:top w:val="nil"/>
              <w:left w:val="nil"/>
              <w:bottom w:val="nil"/>
              <w:right w:val="nil"/>
            </w:tcBorders>
            <w:tcMar>
              <w:top w:w="0" w:type="dxa"/>
              <w:left w:w="62" w:type="dxa"/>
              <w:bottom w:w="0" w:type="dxa"/>
              <w:right w:w="62" w:type="dxa"/>
            </w:tcMar>
          </w:tcPr>
          <w:p w:rsidR="00000000" w:rsidRPr="00C928B9" w:rsidP="00C928B9">
            <w:pPr>
              <w:pStyle w:val="ListBullet"/>
            </w:pPr>
            <w:r w:rsidRPr="00C928B9">
              <w:t>extract, interpret, and record sometimes complex numerical data, symbols and abbreviations involving degrees, volume, percentages and ratios in manufacturer instructions, monitoring specifications and record keeping documents</w:t>
            </w:r>
          </w:p>
          <w:p w:rsidR="00000000" w:rsidRPr="00C928B9" w:rsidP="00C928B9">
            <w:pPr>
              <w:pStyle w:val="ListBullet"/>
            </w:pPr>
            <w:r w:rsidRPr="00C928B9">
              <w:t>inter</w:t>
            </w:r>
            <w:r w:rsidRPr="00C928B9">
              <w:t>pret, use and record temporal data, including minutes, hours, days and weeks</w:t>
            </w:r>
          </w:p>
          <w:p w:rsidR="00000000" w:rsidRPr="00C928B9" w:rsidP="00C928B9">
            <w:pPr>
              <w:pStyle w:val="ListBullet"/>
            </w:pPr>
            <w:r w:rsidRPr="00C928B9">
              <w:t>complete complex calculations for chemical use, involving volume, percentages and ratios using manufacturer instructions and technology to assist.</w:t>
            </w:r>
          </w:p>
        </w:tc>
      </w:tr>
    </w:tbl>
    <w:p w:rsidR="00000000" w:rsidRPr="00C928B9" w:rsidP="00C928B9">
      <w:pPr>
        <w:pStyle w:val="BodyText"/>
      </w:pPr>
    </w:p>
    <w:p w:rsidR="00000000" w:rsidRPr="00C928B9" w:rsidP="00C928B9">
      <w:pPr>
        <w:pStyle w:val="AllowPageBreak"/>
      </w:pPr>
    </w:p>
    <w:p w:rsidR="00000000" w:rsidRPr="00C928B9" w:rsidP="00C928B9">
      <w:pPr>
        <w:pStyle w:val="Heading1"/>
      </w:pPr>
      <w:bookmarkStart w:id="8" w:name="O_1264994"/>
      <w:bookmarkEnd w:id="8"/>
      <w:r w:rsidRPr="00C928B9">
        <w:t>Unit Mappin</w:t>
      </w:r>
      <w:r w:rsidRPr="00C928B9">
        <w:t>g Information</w:t>
      </w:r>
    </w:p>
    <w:p w:rsidR="00000000" w:rsidRPr="00C928B9" w:rsidP="00CF3EED">
      <w:pPr>
        <w:pStyle w:val="BodyText"/>
      </w:pPr>
      <w:r w:rsidRPr="00C928B9">
        <w:t xml:space="preserve">Supersedes and is not equivalent to SISCAQU004 Develop and implement pool water maintenance procedures. </w:t>
      </w:r>
    </w:p>
    <w:p w:rsidR="00000000" w:rsidRPr="00C928B9" w:rsidP="00C928B9">
      <w:pPr>
        <w:pStyle w:val="Heading1"/>
      </w:pPr>
      <w:bookmarkStart w:id="9" w:name="O_1264987"/>
      <w:bookmarkEnd w:id="9"/>
      <w:r w:rsidRPr="00C928B9">
        <w:t>Links</w:t>
      </w:r>
    </w:p>
    <w:p w:rsidR="00000000" w:rsidRPr="00C928B9" w:rsidP="00CF3EED">
      <w:pPr>
        <w:pStyle w:val="BodyText"/>
      </w:pPr>
      <w:r w:rsidRPr="00C928B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E77B2">
        <w:rPr>
          <w:rStyle w:val="Hyperlink"/>
        </w:rPr>
        <w:t>https://vetnet.gov.au/Pages/TrainingDocs.aspx?q=1ca50016-24d2-4161-a044-d3faa200268b</w:t>
      </w:r>
      <w:r>
        <w:fldChar w:fldCharType="end"/>
      </w:r>
    </w:p>
    <w:p w:rsidR="00000000" w:rsidRPr="00C928B9" w:rsidP="00C928B9"/>
    <w:sectPr w:rsidSect="00C928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B9" w:rsidRPr="00CF3EED" w:rsidP="00CF3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ED" w:rsidP="00C92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3EED" w:rsidP="00C928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F3EED" w:rsidP="00C92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8B9" w:rsidRPr="00CF3EED" w:rsidP="00CF3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ED" w:rsidRPr="002D2AF8" w:rsidP="00C928B9">
    <w:pPr>
      <w:pStyle w:val="Header"/>
      <w:framePr w:wrap="around"/>
    </w:pPr>
    <w:r>
      <w:fldChar w:fldCharType="begin"/>
    </w:r>
    <w:r>
      <w:instrText xml:space="preserve"> TITLE   \* MERGEFORMAT </w:instrText>
    </w:r>
    <w:r>
      <w:fldChar w:fldCharType="separate"/>
    </w:r>
    <w:r>
      <w:t>SISCAQU016 Manage pool water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F3EED" w:rsidP="00C92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827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782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8B9"/>
    <w:pPr>
      <w:spacing w:before="360" w:after="60"/>
      <w:outlineLvl w:val="0"/>
    </w:pPr>
    <w:rPr>
      <w:sz w:val="32"/>
    </w:rPr>
  </w:style>
  <w:style w:type="paragraph" w:styleId="Heading2">
    <w:name w:val="heading 2"/>
    <w:basedOn w:val="HeadingBase"/>
    <w:next w:val="BodyText"/>
    <w:link w:val="Heading2Char"/>
    <w:qFormat/>
    <w:rsid w:val="00C928B9"/>
    <w:pPr>
      <w:keepLines/>
      <w:spacing w:before="240" w:after="120"/>
      <w:outlineLvl w:val="1"/>
    </w:pPr>
    <w:rPr>
      <w:sz w:val="28"/>
      <w:szCs w:val="40"/>
    </w:rPr>
  </w:style>
  <w:style w:type="paragraph" w:styleId="Heading3">
    <w:name w:val="heading 3"/>
    <w:basedOn w:val="HeadingBase"/>
    <w:next w:val="BodyText"/>
    <w:link w:val="Heading3Char"/>
    <w:qFormat/>
    <w:rsid w:val="00C928B9"/>
    <w:pPr>
      <w:spacing w:before="180" w:after="120"/>
      <w:outlineLvl w:val="2"/>
    </w:pPr>
    <w:rPr>
      <w:spacing w:val="-10"/>
      <w:kern w:val="32"/>
    </w:rPr>
  </w:style>
  <w:style w:type="paragraph" w:styleId="Heading4">
    <w:name w:val="heading 4"/>
    <w:basedOn w:val="HeadingBase"/>
    <w:next w:val="BodyText"/>
    <w:link w:val="Heading4Char"/>
    <w:qFormat/>
    <w:rsid w:val="00C928B9"/>
    <w:pPr>
      <w:spacing w:before="160" w:after="120"/>
      <w:outlineLvl w:val="3"/>
    </w:pPr>
    <w:rPr>
      <w:sz w:val="22"/>
    </w:rPr>
  </w:style>
  <w:style w:type="paragraph" w:styleId="Heading5">
    <w:name w:val="heading 5"/>
    <w:basedOn w:val="HeadingBase"/>
    <w:next w:val="Normal"/>
    <w:link w:val="Heading5Char"/>
    <w:qFormat/>
    <w:rsid w:val="00C928B9"/>
    <w:pPr>
      <w:spacing w:before="80"/>
      <w:outlineLvl w:val="4"/>
    </w:pPr>
    <w:rPr>
      <w:color w:val="918585"/>
      <w:sz w:val="20"/>
    </w:rPr>
  </w:style>
  <w:style w:type="paragraph" w:styleId="Heading6">
    <w:name w:val="heading 6"/>
    <w:basedOn w:val="HeadingBase"/>
    <w:next w:val="Normal"/>
    <w:link w:val="Heading6Char"/>
    <w:qFormat/>
    <w:rsid w:val="00C928B9"/>
    <w:pPr>
      <w:spacing w:before="60"/>
      <w:outlineLvl w:val="5"/>
    </w:pPr>
    <w:rPr>
      <w:color w:val="918585"/>
      <w:sz w:val="20"/>
    </w:rPr>
  </w:style>
  <w:style w:type="paragraph" w:styleId="Heading7">
    <w:name w:val="heading 7"/>
    <w:basedOn w:val="Normal"/>
    <w:next w:val="Normal"/>
    <w:link w:val="Heading7Char"/>
    <w:qFormat/>
    <w:rsid w:val="00C928B9"/>
    <w:pPr>
      <w:ind w:left="720"/>
      <w:outlineLvl w:val="6"/>
    </w:pPr>
    <w:rPr>
      <w:i/>
    </w:rPr>
  </w:style>
  <w:style w:type="paragraph" w:styleId="Heading8">
    <w:name w:val="heading 8"/>
    <w:basedOn w:val="Normal"/>
    <w:next w:val="Normal"/>
    <w:link w:val="Heading8Char"/>
    <w:qFormat/>
    <w:rsid w:val="00C928B9"/>
    <w:pPr>
      <w:ind w:left="720"/>
      <w:outlineLvl w:val="7"/>
    </w:pPr>
    <w:rPr>
      <w:i/>
    </w:rPr>
  </w:style>
  <w:style w:type="paragraph" w:styleId="Heading9">
    <w:name w:val="heading 9"/>
    <w:basedOn w:val="Normal"/>
    <w:next w:val="Normal"/>
    <w:link w:val="Heading9Char"/>
    <w:qFormat/>
    <w:rsid w:val="00C928B9"/>
    <w:pPr>
      <w:ind w:left="720"/>
      <w:outlineLvl w:val="8"/>
    </w:pPr>
    <w:rPr>
      <w:i/>
    </w:rPr>
  </w:style>
  <w:style w:type="character" w:default="1" w:styleId="DefaultParagraphFont">
    <w:name w:val="Default Paragraph Font"/>
    <w:uiPriority w:val="1"/>
    <w:unhideWhenUsed/>
    <w:rsid w:val="00C92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8B9"/>
  </w:style>
  <w:style w:type="character" w:customStyle="1" w:styleId="Heading1Char">
    <w:name w:val="Heading 1 Char"/>
    <w:basedOn w:val="DefaultParagraphFont"/>
    <w:link w:val="Heading1"/>
    <w:rsid w:val="00C928B9"/>
    <w:rPr>
      <w:rFonts w:ascii="Times New Roman" w:eastAsia="Times New Roman" w:hAnsi="Times New Roman" w:cs="Times New Roman"/>
      <w:b/>
      <w:sz w:val="32"/>
      <w:szCs w:val="20"/>
      <w:lang w:eastAsia="en-US"/>
    </w:rPr>
  </w:style>
  <w:style w:type="paragraph" w:styleId="BodyText">
    <w:name w:val="Body Text"/>
    <w:basedOn w:val="Normal"/>
    <w:link w:val="BodyTextChar"/>
    <w:rsid w:val="00C92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8B9"/>
    <w:rPr>
      <w:rFonts w:ascii="Times New Roman" w:eastAsia="Times New Roman" w:hAnsi="Times New Roman" w:cs="Times New Roman"/>
      <w:sz w:val="24"/>
      <w:lang w:eastAsia="en-US"/>
    </w:rPr>
  </w:style>
  <w:style w:type="paragraph" w:styleId="List">
    <w:name w:val="List"/>
    <w:basedOn w:val="BodyText"/>
    <w:next w:val="BodyText"/>
    <w:rsid w:val="00C928B9"/>
    <w:pPr>
      <w:tabs>
        <w:tab w:val="left" w:pos="340"/>
      </w:tabs>
      <w:spacing w:before="60" w:after="60"/>
      <w:ind w:left="340" w:hanging="340"/>
    </w:pPr>
  </w:style>
  <w:style w:type="paragraph" w:styleId="ListBullet">
    <w:name w:val="List Bullet"/>
    <w:basedOn w:val="List"/>
    <w:rsid w:val="00C928B9"/>
    <w:pPr>
      <w:numPr>
        <w:numId w:val="11"/>
      </w:numPr>
      <w:tabs>
        <w:tab w:val="clear" w:pos="340"/>
      </w:tabs>
      <w:spacing w:before="40" w:after="40"/>
    </w:pPr>
  </w:style>
  <w:style w:type="character" w:customStyle="1" w:styleId="SpecialBold">
    <w:name w:val="Special Bold"/>
    <w:basedOn w:val="DefaultParagraphFont"/>
    <w:rsid w:val="00C928B9"/>
    <w:rPr>
      <w:b/>
      <w:spacing w:val="0"/>
    </w:rPr>
  </w:style>
  <w:style w:type="character" w:styleId="Emphasis">
    <w:name w:val="Emphasis"/>
    <w:basedOn w:val="DefaultParagraphFont"/>
    <w:qFormat/>
    <w:rsid w:val="00C928B9"/>
    <w:rPr>
      <w:i/>
    </w:rPr>
  </w:style>
  <w:style w:type="paragraph" w:customStyle="1" w:styleId="SuperHeading">
    <w:name w:val="SuperHeading"/>
    <w:basedOn w:val="Normal"/>
    <w:rsid w:val="00C928B9"/>
    <w:pPr>
      <w:spacing w:before="240" w:after="120"/>
      <w:outlineLvl w:val="0"/>
    </w:pPr>
    <w:rPr>
      <w:rFonts w:ascii="Times New Roman" w:hAnsi="Times New Roman"/>
      <w:b/>
      <w:sz w:val="32"/>
    </w:rPr>
  </w:style>
  <w:style w:type="paragraph" w:customStyle="1" w:styleId="AllowPageBreak">
    <w:name w:val="AllowPageBreak"/>
    <w:rsid w:val="00C92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8B9"/>
    <w:rPr>
      <w:rFonts w:ascii="Courier New" w:eastAsia="Times New Roman" w:hAnsi="Courier New" w:cs="Times New Roman"/>
      <w:i/>
      <w:szCs w:val="20"/>
      <w:lang w:eastAsia="en-US"/>
    </w:rPr>
  </w:style>
  <w:style w:type="paragraph" w:customStyle="1" w:styleId="HeadingBase">
    <w:name w:val="Heading Base"/>
    <w:rsid w:val="00C92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8B9"/>
    <w:pPr>
      <w:tabs>
        <w:tab w:val="right" w:leader="dot" w:pos="9072"/>
      </w:tabs>
      <w:ind w:left="567"/>
    </w:pPr>
    <w:rPr>
      <w:szCs w:val="22"/>
    </w:rPr>
  </w:style>
  <w:style w:type="paragraph" w:customStyle="1" w:styleId="TOCBase">
    <w:name w:val="TOC Base"/>
    <w:rsid w:val="00C92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8B9"/>
    <w:pPr>
      <w:tabs>
        <w:tab w:val="right" w:leader="dot" w:pos="9072"/>
      </w:tabs>
      <w:spacing w:before="40" w:after="40"/>
      <w:ind w:left="284"/>
    </w:pPr>
    <w:rPr>
      <w:rFonts w:ascii="Times New Roman" w:hAnsi="Times New Roman"/>
    </w:rPr>
  </w:style>
  <w:style w:type="paragraph" w:styleId="TOC1">
    <w:name w:val="toc 1"/>
    <w:basedOn w:val="TOCBase"/>
    <w:next w:val="Normal"/>
    <w:rsid w:val="00C92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8B9"/>
    <w:rPr>
      <w:rFonts w:ascii="Times New Roman" w:eastAsia="Times New Roman" w:hAnsi="Times New Roman" w:cs="Times New Roman"/>
      <w:sz w:val="16"/>
      <w:lang w:eastAsia="en-US"/>
    </w:rPr>
  </w:style>
  <w:style w:type="paragraph" w:styleId="Title">
    <w:name w:val="Title"/>
    <w:basedOn w:val="HeadingBase"/>
    <w:link w:val="TitleChar"/>
    <w:qFormat/>
    <w:rsid w:val="00C928B9"/>
    <w:pPr>
      <w:spacing w:before="5040"/>
      <w:jc w:val="center"/>
    </w:pPr>
    <w:rPr>
      <w:sz w:val="48"/>
      <w:szCs w:val="72"/>
      <w:lang w:val="en-US"/>
    </w:rPr>
  </w:style>
  <w:style w:type="character" w:customStyle="1" w:styleId="TitleChar">
    <w:name w:val="Title Char"/>
    <w:basedOn w:val="DefaultParagraphFont"/>
    <w:link w:val="Title"/>
    <w:rsid w:val="00C92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8B9"/>
    <w:pPr>
      <w:tabs>
        <w:tab w:val="left" w:pos="3600"/>
        <w:tab w:val="left" w:pos="3958"/>
      </w:tabs>
    </w:pPr>
  </w:style>
  <w:style w:type="paragraph" w:customStyle="1" w:styleId="Note">
    <w:name w:val="Note"/>
    <w:basedOn w:val="BodyText"/>
    <w:rsid w:val="00C92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8B9"/>
    <w:pPr>
      <w:framePr w:wrap="auto" w:hAnchor="text" w:y="6049"/>
    </w:pPr>
    <w:rPr>
      <w:color w:val="000000"/>
      <w:sz w:val="40"/>
    </w:rPr>
  </w:style>
  <w:style w:type="paragraph" w:customStyle="1" w:styleId="TOCTitle">
    <w:name w:val="TOCTitle"/>
    <w:basedOn w:val="Heading1"/>
    <w:rsid w:val="00C928B9"/>
    <w:pPr>
      <w:spacing w:after="240"/>
      <w:jc w:val="center"/>
      <w:outlineLvl w:val="9"/>
    </w:pPr>
    <w:rPr>
      <w:caps/>
    </w:rPr>
  </w:style>
  <w:style w:type="paragraph" w:customStyle="1" w:styleId="Version">
    <w:name w:val="Version"/>
    <w:rsid w:val="00C928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8B9"/>
    <w:pPr>
      <w:numPr>
        <w:numId w:val="12"/>
      </w:numPr>
      <w:tabs>
        <w:tab w:val="clear" w:pos="680"/>
      </w:tabs>
    </w:pPr>
  </w:style>
  <w:style w:type="paragraph" w:styleId="Index1">
    <w:name w:val="index 1"/>
    <w:basedOn w:val="Normal"/>
    <w:next w:val="Normal"/>
    <w:semiHidden/>
    <w:rsid w:val="00C928B9"/>
    <w:pPr>
      <w:keepNext w:val="0"/>
      <w:tabs>
        <w:tab w:val="right" w:pos="4176"/>
      </w:tabs>
      <w:ind w:left="198" w:hanging="198"/>
    </w:pPr>
    <w:rPr>
      <w:rFonts w:ascii="Garamond" w:hAnsi="Garamond"/>
    </w:rPr>
  </w:style>
  <w:style w:type="paragraph" w:styleId="IndexHeading">
    <w:name w:val="index heading"/>
    <w:basedOn w:val="Normal"/>
    <w:next w:val="Index1"/>
    <w:semiHidden/>
    <w:rsid w:val="00C928B9"/>
    <w:pPr>
      <w:spacing w:before="120" w:after="120"/>
    </w:pPr>
    <w:rPr>
      <w:rFonts w:ascii="Arial" w:hAnsi="Arial"/>
      <w:b/>
      <w:color w:val="918585"/>
      <w:sz w:val="24"/>
    </w:rPr>
  </w:style>
  <w:style w:type="paragraph" w:styleId="Header">
    <w:name w:val="header"/>
    <w:basedOn w:val="Normal"/>
    <w:link w:val="HeaderChar"/>
    <w:rsid w:val="00C92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8B9"/>
    <w:rPr>
      <w:rFonts w:ascii="Times New Roman" w:eastAsia="Times New Roman" w:hAnsi="Times New Roman" w:cs="Times New Roman"/>
      <w:sz w:val="16"/>
      <w:szCs w:val="20"/>
      <w:lang w:val="en-GB" w:eastAsia="en-US"/>
    </w:rPr>
  </w:style>
  <w:style w:type="paragraph" w:customStyle="1" w:styleId="Chapter">
    <w:name w:val="Chapter"/>
    <w:basedOn w:val="Normal"/>
    <w:rsid w:val="00C928B9"/>
    <w:pPr>
      <w:spacing w:before="240"/>
    </w:pPr>
    <w:rPr>
      <w:rFonts w:ascii="Times New Roman" w:hAnsi="Times New Roman"/>
      <w:smallCaps/>
      <w:spacing w:val="80"/>
      <w:sz w:val="28"/>
    </w:rPr>
  </w:style>
  <w:style w:type="paragraph" w:customStyle="1" w:styleId="InChapter">
    <w:name w:val="InChapter"/>
    <w:basedOn w:val="Heading3"/>
    <w:rsid w:val="00C928B9"/>
    <w:pPr>
      <w:spacing w:after="240"/>
      <w:outlineLvl w:val="9"/>
    </w:pPr>
    <w:rPr>
      <w:noProof/>
    </w:rPr>
  </w:style>
  <w:style w:type="paragraph" w:styleId="Index2">
    <w:name w:val="index 2"/>
    <w:basedOn w:val="Normal"/>
    <w:next w:val="Normal"/>
    <w:semiHidden/>
    <w:rsid w:val="00C928B9"/>
    <w:pPr>
      <w:tabs>
        <w:tab w:val="right" w:pos="4176"/>
      </w:tabs>
      <w:ind w:left="568" w:hanging="284"/>
    </w:pPr>
    <w:rPr>
      <w:rFonts w:ascii="Garamond" w:hAnsi="Garamond"/>
    </w:rPr>
  </w:style>
  <w:style w:type="paragraph" w:customStyle="1" w:styleId="Byline">
    <w:name w:val="Byline"/>
    <w:rsid w:val="00C92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8B9"/>
    <w:pPr>
      <w:tabs>
        <w:tab w:val="clear" w:pos="3600"/>
        <w:tab w:val="clear" w:pos="3958"/>
      </w:tabs>
      <w:jc w:val="right"/>
    </w:pPr>
  </w:style>
  <w:style w:type="paragraph" w:styleId="Caption">
    <w:name w:val="caption"/>
    <w:basedOn w:val="BodyText"/>
    <w:next w:val="Normal"/>
    <w:qFormat/>
    <w:rsid w:val="00C928B9"/>
    <w:pPr>
      <w:framePr w:w="2268" w:hSpace="181" w:vSpace="181" w:wrap="around" w:vAnchor="text" w:hAnchor="page" w:x="1135" w:y="285" w:anchorLock="1"/>
    </w:pPr>
    <w:rPr>
      <w:i/>
    </w:rPr>
  </w:style>
  <w:style w:type="paragraph" w:customStyle="1" w:styleId="MiniTOCTitle">
    <w:name w:val="MiniTOCTitle"/>
    <w:basedOn w:val="Heading4"/>
    <w:rsid w:val="00C928B9"/>
    <w:pPr>
      <w:spacing w:before="240"/>
      <w:outlineLvl w:val="9"/>
    </w:pPr>
    <w:rPr>
      <w:noProof/>
      <w:sz w:val="24"/>
    </w:rPr>
  </w:style>
  <w:style w:type="paragraph" w:customStyle="1" w:styleId="MiniTOCItem">
    <w:name w:val="MiniTOCItem"/>
    <w:basedOn w:val="ListBullet"/>
    <w:rsid w:val="00C928B9"/>
    <w:pPr>
      <w:numPr>
        <w:numId w:val="0"/>
      </w:numPr>
      <w:tabs>
        <w:tab w:val="right" w:leader="dot" w:pos="6521"/>
      </w:tabs>
      <w:spacing w:before="0" w:after="0"/>
    </w:pPr>
  </w:style>
  <w:style w:type="paragraph" w:customStyle="1" w:styleId="TOFTitle">
    <w:name w:val="TOFTitle"/>
    <w:basedOn w:val="TOCTitle"/>
    <w:rsid w:val="00C928B9"/>
  </w:style>
  <w:style w:type="paragraph" w:styleId="TableofFigures">
    <w:name w:val="table of figures"/>
    <w:basedOn w:val="Normal"/>
    <w:next w:val="Normal"/>
    <w:semiHidden/>
    <w:rsid w:val="00C928B9"/>
    <w:pPr>
      <w:tabs>
        <w:tab w:val="right" w:leader="dot" w:pos="9072"/>
      </w:tabs>
      <w:ind w:left="970" w:hanging="403"/>
    </w:pPr>
    <w:rPr>
      <w:rFonts w:ascii="Times New Roman" w:hAnsi="Times New Roman"/>
      <w:b/>
    </w:rPr>
  </w:style>
  <w:style w:type="paragraph" w:styleId="ListNumber">
    <w:name w:val="List Number"/>
    <w:basedOn w:val="List"/>
    <w:rsid w:val="00C928B9"/>
    <w:pPr>
      <w:numPr>
        <w:numId w:val="14"/>
      </w:numPr>
      <w:tabs>
        <w:tab w:val="clear" w:pos="340"/>
      </w:tabs>
    </w:pPr>
  </w:style>
  <w:style w:type="character" w:customStyle="1" w:styleId="WingdingSymbols">
    <w:name w:val="Wingding Symbols"/>
    <w:rsid w:val="00C928B9"/>
    <w:rPr>
      <w:rFonts w:ascii="Wingdings" w:hAnsi="Wingdings"/>
    </w:rPr>
  </w:style>
  <w:style w:type="paragraph" w:customStyle="1" w:styleId="TableHeading">
    <w:name w:val="Table Heading"/>
    <w:basedOn w:val="HeadingBase"/>
    <w:rsid w:val="00C928B9"/>
    <w:pPr>
      <w:keepLines/>
      <w:pBdr>
        <w:bottom w:val="single" w:sz="6" w:space="1" w:color="918585"/>
      </w:pBdr>
      <w:spacing w:before="240"/>
    </w:pPr>
  </w:style>
  <w:style w:type="character" w:customStyle="1" w:styleId="HotSpot">
    <w:name w:val="HotSpot"/>
    <w:rsid w:val="00C928B9"/>
    <w:rPr>
      <w:color w:val="0033CC"/>
      <w:u w:val="none"/>
    </w:rPr>
  </w:style>
  <w:style w:type="paragraph" w:customStyle="1" w:styleId="BodyTextRight">
    <w:name w:val="Body Text Right"/>
    <w:basedOn w:val="BodyText"/>
    <w:rsid w:val="00C928B9"/>
    <w:pPr>
      <w:spacing w:before="0" w:after="0"/>
      <w:jc w:val="right"/>
    </w:pPr>
  </w:style>
  <w:style w:type="paragraph" w:styleId="Index3">
    <w:name w:val="index 3"/>
    <w:basedOn w:val="ListNumber2"/>
    <w:next w:val="Normal"/>
    <w:semiHidden/>
    <w:rsid w:val="00C928B9"/>
    <w:pPr>
      <w:numPr>
        <w:numId w:val="0"/>
      </w:numPr>
      <w:tabs>
        <w:tab w:val="right" w:leader="dot" w:pos="4176"/>
      </w:tabs>
    </w:pPr>
  </w:style>
  <w:style w:type="paragraph" w:styleId="ListNumber2">
    <w:name w:val="List Number 2"/>
    <w:basedOn w:val="List2"/>
    <w:rsid w:val="00C928B9"/>
    <w:pPr>
      <w:numPr>
        <w:numId w:val="9"/>
      </w:numPr>
      <w:tabs>
        <w:tab w:val="clear" w:pos="1060"/>
      </w:tabs>
    </w:pPr>
  </w:style>
  <w:style w:type="paragraph" w:customStyle="1" w:styleId="MarginNote">
    <w:name w:val="Margin Note"/>
    <w:basedOn w:val="BodyText"/>
    <w:rsid w:val="00C92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8B9"/>
    <w:rPr>
      <w:sz w:val="32"/>
    </w:rPr>
  </w:style>
  <w:style w:type="paragraph" w:customStyle="1" w:styleId="HeadingProcedure">
    <w:name w:val="Heading Procedure"/>
    <w:basedOn w:val="HeadingBase"/>
    <w:next w:val="Normal"/>
    <w:rsid w:val="00C928B9"/>
    <w:pPr>
      <w:tabs>
        <w:tab w:val="left" w:pos="0"/>
      </w:tabs>
      <w:spacing w:before="120" w:after="60"/>
    </w:pPr>
    <w:rPr>
      <w:i/>
      <w:color w:val="918585"/>
      <w:sz w:val="22"/>
    </w:rPr>
  </w:style>
  <w:style w:type="paragraph" w:customStyle="1" w:styleId="TableBodyText">
    <w:name w:val="Table Body Text"/>
    <w:basedOn w:val="BodyText"/>
    <w:rsid w:val="00C928B9"/>
    <w:pPr>
      <w:spacing w:before="60" w:after="60"/>
    </w:pPr>
  </w:style>
  <w:style w:type="paragraph" w:styleId="ListContinue">
    <w:name w:val="List Continue"/>
    <w:basedOn w:val="List"/>
    <w:rsid w:val="00C928B9"/>
    <w:pPr>
      <w:ind w:firstLine="0"/>
    </w:pPr>
  </w:style>
  <w:style w:type="paragraph" w:customStyle="1" w:styleId="ListNote">
    <w:name w:val="List Note"/>
    <w:basedOn w:val="List"/>
    <w:rsid w:val="00C928B9"/>
    <w:pPr>
      <w:pBdr>
        <w:top w:val="single" w:sz="6" w:space="2" w:color="918585"/>
        <w:bottom w:val="single" w:sz="6" w:space="2" w:color="918585"/>
      </w:pBdr>
      <w:tabs>
        <w:tab w:val="left" w:pos="1021"/>
      </w:tabs>
      <w:ind w:firstLine="0"/>
    </w:pPr>
  </w:style>
  <w:style w:type="paragraph" w:customStyle="1" w:styleId="Warning">
    <w:name w:val="Warning"/>
    <w:basedOn w:val="BodyText"/>
    <w:rsid w:val="00C928B9"/>
    <w:pPr>
      <w:shd w:val="clear" w:color="auto" w:fill="D9D9D9"/>
      <w:tabs>
        <w:tab w:val="left" w:pos="992"/>
      </w:tabs>
      <w:ind w:left="119" w:right="119"/>
    </w:pPr>
    <w:rPr>
      <w:sz w:val="20"/>
    </w:rPr>
  </w:style>
  <w:style w:type="paragraph" w:customStyle="1" w:styleId="MarginIcons">
    <w:name w:val="Margin Icons"/>
    <w:basedOn w:val="BodyText"/>
    <w:rsid w:val="00C92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8B9"/>
    <w:rPr>
      <w:rFonts w:ascii="Courier New" w:hAnsi="Courier New"/>
    </w:rPr>
  </w:style>
  <w:style w:type="paragraph" w:customStyle="1" w:styleId="NoteBullet">
    <w:name w:val="Note Bullet"/>
    <w:basedOn w:val="Note"/>
    <w:rsid w:val="00C928B9"/>
    <w:pPr>
      <w:tabs>
        <w:tab w:val="clear" w:pos="680"/>
      </w:tabs>
      <w:spacing w:before="60" w:after="60"/>
    </w:pPr>
  </w:style>
  <w:style w:type="paragraph" w:customStyle="1" w:styleId="SubHeading2">
    <w:name w:val="SubHeading2"/>
    <w:basedOn w:val="HeadingBase"/>
    <w:rsid w:val="00C928B9"/>
    <w:pPr>
      <w:spacing w:before="240" w:after="60"/>
    </w:pPr>
    <w:rPr>
      <w:sz w:val="20"/>
    </w:rPr>
  </w:style>
  <w:style w:type="paragraph" w:customStyle="1" w:styleId="SubHeading1">
    <w:name w:val="SubHeading1"/>
    <w:basedOn w:val="HeadingBase"/>
    <w:rsid w:val="00C928B9"/>
    <w:pPr>
      <w:spacing w:before="240" w:after="60"/>
    </w:pPr>
    <w:rPr>
      <w:color w:val="918585"/>
      <w:sz w:val="22"/>
    </w:rPr>
  </w:style>
  <w:style w:type="paragraph" w:customStyle="1" w:styleId="SideHeading">
    <w:name w:val="Side Heading"/>
    <w:basedOn w:val="HeadingBase"/>
    <w:rsid w:val="00C92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8B9"/>
    <w:pPr>
      <w:numPr>
        <w:numId w:val="10"/>
      </w:numPr>
    </w:pPr>
  </w:style>
  <w:style w:type="paragraph" w:styleId="PlainText">
    <w:name w:val="Plain Text"/>
    <w:basedOn w:val="Normal"/>
    <w:link w:val="PlainTextChar"/>
    <w:rsid w:val="00C928B9"/>
    <w:rPr>
      <w:sz w:val="20"/>
    </w:rPr>
  </w:style>
  <w:style w:type="character" w:customStyle="1" w:styleId="PlainTextChar">
    <w:name w:val="Plain Text Char"/>
    <w:basedOn w:val="DefaultParagraphFont"/>
    <w:link w:val="PlainText"/>
    <w:rsid w:val="00C928B9"/>
    <w:rPr>
      <w:rFonts w:ascii="Courier New" w:eastAsia="Times New Roman" w:hAnsi="Courier New" w:cs="Times New Roman"/>
      <w:sz w:val="20"/>
      <w:szCs w:val="20"/>
      <w:lang w:eastAsia="en-US"/>
    </w:rPr>
  </w:style>
  <w:style w:type="character" w:customStyle="1" w:styleId="MenuOption">
    <w:name w:val="Menu Option"/>
    <w:basedOn w:val="DefaultParagraphFont"/>
    <w:rsid w:val="00C928B9"/>
    <w:rPr>
      <w:b/>
      <w:smallCaps/>
    </w:rPr>
  </w:style>
  <w:style w:type="paragraph" w:customStyle="1" w:styleId="TableListNumber">
    <w:name w:val="Table List Number"/>
    <w:basedOn w:val="ListNumber"/>
    <w:rsid w:val="00C928B9"/>
    <w:pPr>
      <w:numPr>
        <w:numId w:val="0"/>
      </w:numPr>
    </w:pPr>
  </w:style>
  <w:style w:type="paragraph" w:styleId="TOC4">
    <w:name w:val="toc 4"/>
    <w:basedOn w:val="TOCBase"/>
    <w:next w:val="Normal"/>
    <w:semiHidden/>
    <w:rsid w:val="00C928B9"/>
    <w:pPr>
      <w:tabs>
        <w:tab w:val="right" w:leader="dot" w:pos="9071"/>
      </w:tabs>
      <w:ind w:left="1701"/>
    </w:pPr>
  </w:style>
  <w:style w:type="paragraph" w:customStyle="1" w:styleId="ListAlpha">
    <w:name w:val="List Alpha"/>
    <w:basedOn w:val="List"/>
    <w:rsid w:val="00C928B9"/>
    <w:pPr>
      <w:numPr>
        <w:numId w:val="8"/>
      </w:numPr>
    </w:pPr>
  </w:style>
  <w:style w:type="paragraph" w:customStyle="1" w:styleId="ListAlpha2">
    <w:name w:val="List Alpha 2"/>
    <w:basedOn w:val="List2"/>
    <w:rsid w:val="00C928B9"/>
    <w:pPr>
      <w:numPr>
        <w:numId w:val="7"/>
      </w:numPr>
    </w:pPr>
  </w:style>
  <w:style w:type="paragraph" w:styleId="List2">
    <w:name w:val="List 2"/>
    <w:basedOn w:val="BodyText"/>
    <w:rsid w:val="00C928B9"/>
    <w:pPr>
      <w:tabs>
        <w:tab w:val="left" w:pos="680"/>
      </w:tabs>
      <w:spacing w:before="60" w:after="60"/>
      <w:ind w:left="680" w:hanging="340"/>
    </w:pPr>
  </w:style>
  <w:style w:type="paragraph" w:styleId="List3">
    <w:name w:val="List 3"/>
    <w:basedOn w:val="BodyText"/>
    <w:rsid w:val="00C928B9"/>
    <w:pPr>
      <w:tabs>
        <w:tab w:val="left" w:pos="1021"/>
      </w:tabs>
      <w:spacing w:before="60" w:after="60"/>
      <w:ind w:left="1020" w:hanging="340"/>
    </w:pPr>
  </w:style>
  <w:style w:type="paragraph" w:styleId="List4">
    <w:name w:val="List 4"/>
    <w:basedOn w:val="BodyText"/>
    <w:rsid w:val="00C928B9"/>
    <w:pPr>
      <w:tabs>
        <w:tab w:val="left" w:pos="1361"/>
      </w:tabs>
      <w:spacing w:before="60" w:after="60"/>
      <w:ind w:left="1361" w:hanging="340"/>
    </w:pPr>
  </w:style>
  <w:style w:type="paragraph" w:styleId="List5">
    <w:name w:val="List 5"/>
    <w:basedOn w:val="BodyText"/>
    <w:rsid w:val="00C928B9"/>
    <w:pPr>
      <w:tabs>
        <w:tab w:val="left" w:pos="1701"/>
      </w:tabs>
      <w:spacing w:before="60" w:after="60"/>
      <w:ind w:left="1701" w:hanging="340"/>
    </w:pPr>
  </w:style>
  <w:style w:type="paragraph" w:styleId="ListBullet3">
    <w:name w:val="List Bullet 3"/>
    <w:basedOn w:val="List3"/>
    <w:rsid w:val="00C928B9"/>
    <w:pPr>
      <w:numPr>
        <w:numId w:val="13"/>
      </w:numPr>
      <w:tabs>
        <w:tab w:val="clear" w:pos="1021"/>
      </w:tabs>
      <w:ind w:left="1037" w:hanging="357"/>
    </w:pPr>
  </w:style>
  <w:style w:type="paragraph" w:styleId="ListBullet4">
    <w:name w:val="List Bullet 4"/>
    <w:basedOn w:val="List4"/>
    <w:rsid w:val="00C928B9"/>
    <w:pPr>
      <w:numPr>
        <w:numId w:val="2"/>
      </w:numPr>
      <w:tabs>
        <w:tab w:val="clear" w:pos="1361"/>
      </w:tabs>
    </w:pPr>
  </w:style>
  <w:style w:type="paragraph" w:styleId="ListBullet5">
    <w:name w:val="List Bullet 5"/>
    <w:basedOn w:val="List5"/>
    <w:rsid w:val="00C928B9"/>
    <w:pPr>
      <w:numPr>
        <w:numId w:val="3"/>
      </w:numPr>
    </w:pPr>
  </w:style>
  <w:style w:type="paragraph" w:styleId="ListContinue2">
    <w:name w:val="List Continue 2"/>
    <w:basedOn w:val="List2"/>
    <w:rsid w:val="00C928B9"/>
    <w:pPr>
      <w:ind w:firstLine="0"/>
    </w:pPr>
  </w:style>
  <w:style w:type="paragraph" w:styleId="ListContinue3">
    <w:name w:val="List Continue 3"/>
    <w:basedOn w:val="List3"/>
    <w:rsid w:val="00C928B9"/>
    <w:pPr>
      <w:ind w:left="1021" w:firstLine="0"/>
    </w:pPr>
  </w:style>
  <w:style w:type="paragraph" w:styleId="ListContinue4">
    <w:name w:val="List Continue 4"/>
    <w:basedOn w:val="List4"/>
    <w:rsid w:val="00C928B9"/>
    <w:pPr>
      <w:ind w:firstLine="0"/>
    </w:pPr>
  </w:style>
  <w:style w:type="paragraph" w:styleId="ListContinue5">
    <w:name w:val="List Continue 5"/>
    <w:basedOn w:val="List5"/>
    <w:rsid w:val="00C928B9"/>
    <w:pPr>
      <w:ind w:firstLine="0"/>
    </w:pPr>
  </w:style>
  <w:style w:type="paragraph" w:styleId="ListNumber3">
    <w:name w:val="List Number 3"/>
    <w:basedOn w:val="List3"/>
    <w:rsid w:val="00C928B9"/>
    <w:pPr>
      <w:numPr>
        <w:numId w:val="4"/>
      </w:numPr>
    </w:pPr>
  </w:style>
  <w:style w:type="paragraph" w:styleId="ListNumber4">
    <w:name w:val="List Number 4"/>
    <w:basedOn w:val="List4"/>
    <w:rsid w:val="00C928B9"/>
    <w:pPr>
      <w:numPr>
        <w:numId w:val="5"/>
      </w:numPr>
    </w:pPr>
  </w:style>
  <w:style w:type="paragraph" w:styleId="ListNumber5">
    <w:name w:val="List Number 5"/>
    <w:basedOn w:val="List5"/>
    <w:rsid w:val="00C928B9"/>
    <w:pPr>
      <w:numPr>
        <w:numId w:val="6"/>
      </w:numPr>
    </w:pPr>
  </w:style>
  <w:style w:type="paragraph" w:styleId="BlockText">
    <w:name w:val="Block Text"/>
    <w:basedOn w:val="Normal"/>
    <w:rsid w:val="00C928B9"/>
    <w:pPr>
      <w:spacing w:after="120"/>
      <w:ind w:left="1440" w:right="1440"/>
    </w:pPr>
  </w:style>
  <w:style w:type="character" w:customStyle="1" w:styleId="Subscript">
    <w:name w:val="Subscript"/>
    <w:basedOn w:val="DefaultParagraphFont"/>
    <w:rsid w:val="00C928B9"/>
    <w:rPr>
      <w:sz w:val="16"/>
      <w:vertAlign w:val="subscript"/>
    </w:rPr>
  </w:style>
  <w:style w:type="character" w:customStyle="1" w:styleId="Superscript">
    <w:name w:val="Superscript"/>
    <w:basedOn w:val="DefaultParagraphFont"/>
    <w:rsid w:val="00C928B9"/>
    <w:rPr>
      <w:sz w:val="16"/>
      <w:vertAlign w:val="superscript"/>
    </w:rPr>
  </w:style>
  <w:style w:type="character" w:customStyle="1" w:styleId="Symbols">
    <w:name w:val="Symbols"/>
    <w:basedOn w:val="DefaultParagraphFont"/>
    <w:rsid w:val="00C928B9"/>
    <w:rPr>
      <w:rFonts w:ascii="Symbol" w:hAnsi="Symbol"/>
    </w:rPr>
  </w:style>
  <w:style w:type="character" w:customStyle="1" w:styleId="MenuOptions">
    <w:name w:val="Menu Options"/>
    <w:basedOn w:val="DefaultParagraphFont"/>
    <w:rsid w:val="00C928B9"/>
    <w:rPr>
      <w:rFonts w:ascii="Arial Narrow" w:hAnsi="Arial Narrow"/>
      <w:smallCaps/>
    </w:rPr>
  </w:style>
  <w:style w:type="character" w:customStyle="1" w:styleId="Buttons">
    <w:name w:val="Buttons"/>
    <w:basedOn w:val="DefaultParagraphFont"/>
    <w:rsid w:val="00C928B9"/>
    <w:rPr>
      <w:b/>
    </w:rPr>
  </w:style>
  <w:style w:type="character" w:customStyle="1" w:styleId="Underlined">
    <w:name w:val="Underlined"/>
    <w:basedOn w:val="DefaultParagraphFont"/>
    <w:rsid w:val="00C928B9"/>
    <w:rPr>
      <w:u w:val="single"/>
    </w:rPr>
  </w:style>
  <w:style w:type="paragraph" w:customStyle="1" w:styleId="TableBodyTextRight">
    <w:name w:val="Table Body Text Right"/>
    <w:basedOn w:val="TableBodyText"/>
    <w:rsid w:val="00C928B9"/>
    <w:pPr>
      <w:widowControl w:val="0"/>
      <w:autoSpaceDE w:val="0"/>
      <w:autoSpaceDN w:val="0"/>
      <w:adjustRightInd w:val="0"/>
      <w:jc w:val="right"/>
    </w:pPr>
    <w:rPr>
      <w:rFonts w:cs="Arial"/>
      <w:szCs w:val="18"/>
    </w:rPr>
  </w:style>
  <w:style w:type="paragraph" w:customStyle="1" w:styleId="CopyrightText">
    <w:name w:val="Copyright Text"/>
    <w:basedOn w:val="BodyText"/>
    <w:rsid w:val="00C928B9"/>
    <w:rPr>
      <w:sz w:val="18"/>
    </w:rPr>
  </w:style>
  <w:style w:type="paragraph" w:customStyle="1" w:styleId="BodySmallRight">
    <w:name w:val="Body Small Right"/>
    <w:basedOn w:val="BodyTextRight"/>
    <w:rsid w:val="00C928B9"/>
    <w:rPr>
      <w:sz w:val="18"/>
      <w:szCs w:val="18"/>
    </w:rPr>
  </w:style>
  <w:style w:type="paragraph" w:customStyle="1" w:styleId="MarginEdition">
    <w:name w:val="Margin Edition"/>
    <w:basedOn w:val="MarginNote"/>
    <w:rsid w:val="00C928B9"/>
    <w:pPr>
      <w:spacing w:before="0" w:after="0"/>
    </w:pPr>
    <w:rPr>
      <w:rFonts w:ascii="Times New Roman" w:hAnsi="Times New Roman"/>
      <w:color w:val="999999"/>
    </w:rPr>
  </w:style>
  <w:style w:type="paragraph" w:customStyle="1" w:styleId="Spacer">
    <w:name w:val="Spacer"/>
    <w:basedOn w:val="Normal"/>
    <w:rsid w:val="00C928B9"/>
    <w:rPr>
      <w:sz w:val="2"/>
      <w:szCs w:val="2"/>
    </w:rPr>
  </w:style>
  <w:style w:type="character" w:customStyle="1" w:styleId="Small">
    <w:name w:val="Small"/>
    <w:basedOn w:val="DefaultParagraphFont"/>
    <w:rsid w:val="00C928B9"/>
    <w:rPr>
      <w:sz w:val="16"/>
    </w:rPr>
  </w:style>
  <w:style w:type="paragraph" w:customStyle="1" w:styleId="WideTable">
    <w:name w:val="Wide Table"/>
    <w:basedOn w:val="Normal"/>
    <w:rsid w:val="00C928B9"/>
    <w:pPr>
      <w:ind w:left="-1418"/>
    </w:pPr>
    <w:rPr>
      <w:sz w:val="2"/>
      <w:szCs w:val="2"/>
    </w:rPr>
  </w:style>
  <w:style w:type="character" w:styleId="PageNumber">
    <w:name w:val="page number"/>
    <w:basedOn w:val="DefaultParagraphFont"/>
    <w:rsid w:val="00C928B9"/>
  </w:style>
  <w:style w:type="paragraph" w:styleId="Quote">
    <w:name w:val="Quote"/>
    <w:basedOn w:val="Heading1"/>
    <w:link w:val="QuoteChar"/>
    <w:qFormat/>
    <w:rsid w:val="00C928B9"/>
    <w:rPr>
      <w:b w:val="0"/>
      <w:sz w:val="72"/>
      <w:szCs w:val="72"/>
      <w:lang w:val="en-NZ"/>
    </w:rPr>
  </w:style>
  <w:style w:type="character" w:customStyle="1" w:styleId="QuoteChar">
    <w:name w:val="Quote Char"/>
    <w:basedOn w:val="DefaultParagraphFont"/>
    <w:link w:val="Quote"/>
    <w:rsid w:val="00C92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8B9"/>
    <w:pPr>
      <w:pageBreakBefore/>
    </w:pPr>
  </w:style>
  <w:style w:type="paragraph" w:customStyle="1" w:styleId="Border">
    <w:name w:val="Border"/>
    <w:basedOn w:val="Normal"/>
    <w:qFormat/>
    <w:rsid w:val="00C92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8B9"/>
    <w:rPr>
      <w:b/>
      <w:bCs/>
      <w:i/>
      <w:iCs/>
      <w:color w:val="auto"/>
    </w:rPr>
  </w:style>
  <w:style w:type="paragraph" w:styleId="IntenseQuote">
    <w:name w:val="Intense Quote"/>
    <w:basedOn w:val="Normal"/>
    <w:next w:val="Normal"/>
    <w:link w:val="IntenseQuoteChar"/>
    <w:uiPriority w:val="30"/>
    <w:qFormat/>
    <w:rsid w:val="00C92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8B9"/>
    <w:rPr>
      <w:smallCaps/>
      <w:color w:val="auto"/>
      <w:u w:val="single"/>
    </w:rPr>
  </w:style>
  <w:style w:type="character" w:styleId="IntenseReference">
    <w:name w:val="Intense Reference"/>
    <w:basedOn w:val="DefaultParagraphFont"/>
    <w:uiPriority w:val="32"/>
    <w:qFormat/>
    <w:rsid w:val="00C928B9"/>
    <w:rPr>
      <w:b/>
      <w:bCs/>
      <w:smallCaps/>
      <w:color w:val="auto"/>
      <w:spacing w:val="5"/>
      <w:u w:val="single"/>
    </w:rPr>
  </w:style>
  <w:style w:type="paragraph" w:customStyle="1" w:styleId="2ColumnHeading">
    <w:name w:val="2Column Heading"/>
    <w:basedOn w:val="BodyText"/>
    <w:qFormat/>
    <w:rsid w:val="00C928B9"/>
    <w:pPr>
      <w:spacing w:after="60"/>
      <w:ind w:left="-2268"/>
    </w:pPr>
    <w:rPr>
      <w:b/>
    </w:rPr>
  </w:style>
  <w:style w:type="paragraph" w:customStyle="1" w:styleId="Heading1TOC">
    <w:name w:val="Heading1 TOC"/>
    <w:basedOn w:val="Normal"/>
    <w:qFormat/>
    <w:rsid w:val="00C928B9"/>
    <w:pPr>
      <w:spacing w:before="240" w:after="120"/>
    </w:pPr>
    <w:rPr>
      <w:rFonts w:ascii="Times New Roman" w:hAnsi="Times New Roman"/>
      <w:b/>
      <w:sz w:val="32"/>
    </w:rPr>
  </w:style>
  <w:style w:type="paragraph" w:customStyle="1" w:styleId="Heading2TOC">
    <w:name w:val="Heading2 TOC"/>
    <w:basedOn w:val="Normal"/>
    <w:qFormat/>
    <w:rsid w:val="00C928B9"/>
    <w:pPr>
      <w:spacing w:before="240" w:after="60"/>
    </w:pPr>
    <w:rPr>
      <w:rFonts w:ascii="Times New Roman" w:hAnsi="Times New Roman"/>
      <w:b/>
      <w:sz w:val="28"/>
    </w:rPr>
  </w:style>
  <w:style w:type="character" w:customStyle="1" w:styleId="Underline">
    <w:name w:val="Underline"/>
    <w:basedOn w:val="DefaultParagraphFont"/>
    <w:qFormat/>
    <w:rsid w:val="00C928B9"/>
    <w:rPr>
      <w:u w:val="single"/>
    </w:rPr>
  </w:style>
  <w:style w:type="character" w:customStyle="1" w:styleId="BoldandItalics">
    <w:name w:val="Bold and Italics"/>
    <w:qFormat/>
    <w:rsid w:val="00C928B9"/>
    <w:rPr>
      <w:b/>
      <w:i/>
      <w:u w:val="none"/>
    </w:rPr>
  </w:style>
  <w:style w:type="paragraph" w:styleId="BalloonText">
    <w:name w:val="Balloon Text"/>
    <w:basedOn w:val="Normal"/>
    <w:link w:val="BalloonTextChar"/>
    <w:rsid w:val="00C928B9"/>
    <w:rPr>
      <w:rFonts w:ascii="Tahoma" w:hAnsi="Tahoma" w:cs="Tahoma"/>
      <w:sz w:val="16"/>
      <w:szCs w:val="16"/>
    </w:rPr>
  </w:style>
  <w:style w:type="character" w:customStyle="1" w:styleId="BalloonTextChar">
    <w:name w:val="Balloon Text Char"/>
    <w:basedOn w:val="DefaultParagraphFont"/>
    <w:link w:val="BalloonText"/>
    <w:rsid w:val="00C92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8B9"/>
    <w:rPr>
      <w:b/>
      <w:color w:val="660033"/>
      <w:spacing w:val="0"/>
    </w:rPr>
  </w:style>
  <w:style w:type="paragraph" w:customStyle="1" w:styleId="Nameditemlist">
    <w:name w:val="Named item list"/>
    <w:basedOn w:val="BodyText"/>
    <w:qFormat/>
    <w:rsid w:val="00C928B9"/>
    <w:pPr>
      <w:tabs>
        <w:tab w:val="left" w:pos="2835"/>
      </w:tabs>
      <w:ind w:left="2835" w:hanging="2835"/>
    </w:pPr>
  </w:style>
  <w:style w:type="paragraph" w:customStyle="1" w:styleId="BodyTextnopadding">
    <w:name w:val="Body Text no padding"/>
    <w:basedOn w:val="BodyText"/>
    <w:qFormat/>
    <w:rsid w:val="00C928B9"/>
    <w:pPr>
      <w:spacing w:before="0" w:after="0"/>
    </w:pPr>
  </w:style>
  <w:style w:type="paragraph" w:customStyle="1" w:styleId="BodyTextBold">
    <w:name w:val="Body Text Bold"/>
    <w:basedOn w:val="BodyText"/>
    <w:qFormat/>
    <w:rsid w:val="00C928B9"/>
    <w:rPr>
      <w:b/>
    </w:rPr>
  </w:style>
  <w:style w:type="character" w:styleId="Hyperlink">
    <w:name w:val="Hyperlink"/>
    <w:basedOn w:val="DefaultParagraphFont"/>
    <w:uiPriority w:val="99"/>
    <w:unhideWhenUsed/>
    <w:rsid w:val="00CF3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4830</Characters>
  <Application>Microsoft Office Word</Application>
  <DocSecurity>0</DocSecurity>
  <Lines>138</Lines>
  <Paragraphs>73</Paragraphs>
  <ScaleCrop>false</ScaleCrop>
  <Company>Author-it Software Corporation Ltd.</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SISCAQU016 Manage pool water quality</dc:title>
  <dc:subject>Approved</dc:subject>
  <dc:creator>SkillsIQ</dc:creator>
  <cp:keywords>Release: 1</cp:keywords>
  <dc:description>Review Date: 12 April 2008</dc:description>
  <cp:lastModifiedBy>HSD_TPCMSd.prod</cp:lastModifiedBy>
  <cp:revision>3</cp:revision>
  <dcterms:created xsi:type="dcterms:W3CDTF">2022-12-16T01:45:00Z</dcterms:created>
  <dcterms:modified xsi:type="dcterms:W3CDTF">2022-12-16T01:45:00Z</dcterms:modified>
</cp:coreProperties>
</file>