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81A" w:rsidP="009E181A">
      <w:pPr>
        <w:pStyle w:val="Title"/>
      </w:pPr>
      <w:bookmarkStart w:id="0" w:name="_GoBack"/>
      <w:bookmarkEnd w:id="0"/>
      <w:r>
        <w:fldChar w:fldCharType="begin"/>
      </w:r>
      <w:r>
        <w:instrText xml:space="preserve"> TITLE   \* MERGEFORMAT </w:instrText>
      </w:r>
      <w:r>
        <w:fldChar w:fldCharType="separate"/>
      </w:r>
      <w:r>
        <w:t>SIRXPRO002A Implement product recalls</w:t>
      </w:r>
      <w:r>
        <w:fldChar w:fldCharType="end"/>
      </w:r>
    </w:p>
    <w:p w:rsidR="009E181A" w:rsidP="009E181A">
      <w:pPr>
        <w:pStyle w:val="Version"/>
        <w:sectPr w:rsidSect="00B12C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12C29" w:rsidP="00B12C29">
      <w:pPr>
        <w:pStyle w:val="SuperHeading"/>
      </w:pPr>
      <w:r w:rsidRPr="00B12C29">
        <w:t>SIRXPRO002A Implement product recalls</w:t>
      </w:r>
    </w:p>
    <w:p w:rsidR="00000000" w:rsidRPr="00B12C29" w:rsidP="00B12C29">
      <w:pPr>
        <w:pStyle w:val="SuperHeading"/>
      </w:pPr>
    </w:p>
    <w:p w:rsidR="00000000" w:rsidRPr="00B12C29" w:rsidP="00B12C29">
      <w:pPr>
        <w:pStyle w:val="Heading1"/>
      </w:pPr>
      <w:bookmarkStart w:id="1" w:name="O_394897"/>
      <w:bookmarkEnd w:id="1"/>
      <w:r w:rsidRPr="00B12C29">
        <w:t>Modification History</w:t>
      </w:r>
    </w:p>
    <w:p w:rsidR="00000000" w:rsidRPr="00B12C29" w:rsidP="00B12C29">
      <w:pPr>
        <w:pStyle w:val="BodyText"/>
      </w:pPr>
      <w:r w:rsidRPr="00B12C29">
        <w:t>The version details of this endorsed unit are in the table below. The latest information i</w:t>
      </w:r>
      <w:r w:rsidRPr="00B12C29">
        <w:t>s at the top.</w:t>
      </w:r>
    </w:p>
    <w:tbl>
      <w:tblPr>
        <w:tblW w:w="0" w:type="auto"/>
        <w:tblCellMar>
          <w:left w:w="62" w:type="dxa"/>
          <w:right w:w="62" w:type="dxa"/>
        </w:tblCellMar>
        <w:tblLook w:val="0000"/>
      </w:tblPr>
      <w:tblGrid>
        <w:gridCol w:w="4609"/>
        <w:gridCol w:w="4587"/>
      </w:tblGrid>
      <w:tr w:rsidTr="009E1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C29" w:rsidP="00B12C29">
            <w:pPr>
              <w:pStyle w:val="BodyText"/>
            </w:pPr>
            <w:r w:rsidRPr="00B12C2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C29">
            <w:pPr>
              <w:pStyle w:val="BodyText"/>
              <w:rPr>
                <w:lang w:val="en-NZ"/>
              </w:rPr>
            </w:pPr>
            <w:r w:rsidRPr="00B12C29">
              <w:rPr>
                <w:rStyle w:val="SpecialBold"/>
              </w:rPr>
              <w:t>Comments</w:t>
            </w:r>
          </w:p>
        </w:tc>
      </w:tr>
      <w:tr w:rsidTr="009E1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C29">
            <w:pPr>
              <w:pStyle w:val="BodyText"/>
              <w:rPr>
                <w:lang w:val="en-NZ"/>
              </w:rPr>
            </w:pPr>
            <w:r w:rsidRPr="00B12C29">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C29" w:rsidP="00B12C29">
            <w:pPr>
              <w:pStyle w:val="BodyText"/>
            </w:pPr>
            <w:r w:rsidRPr="00B12C29">
              <w:t>Editorial updates</w:t>
            </w:r>
          </w:p>
        </w:tc>
      </w:tr>
    </w:tbl>
    <w:p w:rsidR="00000000" w:rsidRPr="00B12C29" w:rsidP="00B12C29">
      <w:pPr>
        <w:pStyle w:val="BodyText"/>
      </w:pPr>
    </w:p>
    <w:p w:rsidR="00000000" w:rsidRPr="00B12C29" w:rsidP="00B12C29">
      <w:pPr>
        <w:pStyle w:val="AllowPageBreak"/>
      </w:pPr>
    </w:p>
    <w:p w:rsidR="00000000" w:rsidRPr="00B12C29" w:rsidP="00B12C29">
      <w:pPr>
        <w:pStyle w:val="Heading1"/>
      </w:pPr>
      <w:bookmarkStart w:id="2" w:name="O_394893"/>
      <w:bookmarkEnd w:id="2"/>
      <w:r w:rsidRPr="00B12C29">
        <w:t>Unit Descriptor</w:t>
      </w:r>
    </w:p>
    <w:p w:rsidR="00000000" w:rsidRPr="00B12C29" w:rsidP="00B12C29">
      <w:pPr>
        <w:pStyle w:val="BodyText"/>
      </w:pPr>
      <w:r w:rsidRPr="00B12C29">
        <w:t xml:space="preserve">This unit describes the performance outcomes, skills and knowledge required to initiate and implement product recalls for a retail or wholesale business </w:t>
      </w:r>
      <w:r w:rsidRPr="00B12C29">
        <w:t>in compliance with legislative obligations and according to risk management principles.</w:t>
      </w:r>
    </w:p>
    <w:p w:rsidR="00000000" w:rsidRPr="00B12C29" w:rsidP="00B12C29">
      <w:pPr>
        <w:pStyle w:val="AllowPageBreak"/>
      </w:pPr>
    </w:p>
    <w:p w:rsidR="00000000" w:rsidRPr="00B12C29" w:rsidP="00B12C29">
      <w:pPr>
        <w:pStyle w:val="Heading1"/>
      </w:pPr>
      <w:bookmarkStart w:id="3" w:name="O_394905"/>
      <w:bookmarkEnd w:id="3"/>
      <w:r w:rsidRPr="00B12C29">
        <w:t>Application of the Unit</w:t>
      </w:r>
    </w:p>
    <w:p w:rsidR="00000000" w:rsidRPr="00B12C29" w:rsidP="00B12C29">
      <w:pPr>
        <w:pStyle w:val="BodyText"/>
      </w:pPr>
      <w:r w:rsidRPr="00B12C29">
        <w:t>This unit involves applies to personnel who are responsible for receiving and interpreting customer complaints, assessing and c</w:t>
      </w:r>
      <w:r w:rsidRPr="00B12C29">
        <w:t>ommunicating risk-related information to supervisors, staff, external stakeholders and business customers, and managing the recall process for a worksite or recall activity according to company policy and relevant legislation.</w:t>
      </w:r>
    </w:p>
    <w:p w:rsidR="00000000" w:rsidRPr="00B12C29" w:rsidP="00B12C29">
      <w:pPr>
        <w:pStyle w:val="AllowPageBreak"/>
      </w:pPr>
    </w:p>
    <w:p w:rsidR="00000000" w:rsidRPr="00B12C29" w:rsidP="00B12C29">
      <w:pPr>
        <w:pStyle w:val="Heading1"/>
      </w:pPr>
      <w:bookmarkStart w:id="4" w:name="O_394898"/>
      <w:bookmarkEnd w:id="4"/>
      <w:r w:rsidRPr="00B12C29">
        <w:t>Licensing/Re</w:t>
      </w:r>
      <w:r w:rsidRPr="00B12C29">
        <w:t>gulatory Information</w:t>
      </w:r>
    </w:p>
    <w:p w:rsidR="00000000" w:rsidRPr="00B12C29" w:rsidP="00B12C29">
      <w:pPr>
        <w:pStyle w:val="BodyText"/>
      </w:pPr>
      <w:r w:rsidRPr="00B12C29">
        <w:t>No licensing, legislative, regulatory or certification requirements apply to this unit at the time of endorsement.</w:t>
      </w:r>
    </w:p>
    <w:p w:rsidR="00000000" w:rsidRPr="00B12C29" w:rsidP="00B12C29">
      <w:pPr>
        <w:pStyle w:val="AllowPageBreak"/>
      </w:pPr>
    </w:p>
    <w:p w:rsidR="00000000" w:rsidRPr="00B12C29" w:rsidP="00B12C29">
      <w:pPr>
        <w:pStyle w:val="Heading1"/>
      </w:pPr>
      <w:bookmarkStart w:id="5" w:name="O_394896"/>
      <w:bookmarkEnd w:id="5"/>
      <w:r w:rsidRPr="00B12C29">
        <w:t>Pre-Requisites</w:t>
      </w:r>
    </w:p>
    <w:p w:rsidR="00000000" w:rsidRPr="00B12C29" w:rsidP="00B12C29">
      <w:pPr>
        <w:pStyle w:val="BodyText"/>
      </w:pPr>
      <w:r w:rsidRPr="00B12C29">
        <w:t>Nil</w:t>
      </w:r>
    </w:p>
    <w:p w:rsidR="00000000" w:rsidRPr="00B12C29" w:rsidP="00B12C29">
      <w:pPr>
        <w:pStyle w:val="AllowPageBreak"/>
      </w:pPr>
    </w:p>
    <w:p w:rsidR="00000000" w:rsidRPr="00B12C29" w:rsidP="00B12C29">
      <w:pPr>
        <w:pStyle w:val="Heading1"/>
      </w:pPr>
      <w:bookmarkStart w:id="6" w:name="O_394901"/>
      <w:bookmarkEnd w:id="6"/>
      <w:r w:rsidRPr="00B12C29">
        <w:t>Employability Skills Information</w:t>
      </w:r>
    </w:p>
    <w:p w:rsidR="00000000" w:rsidRPr="00B12C29" w:rsidP="00B12C29">
      <w:pPr>
        <w:pStyle w:val="BodyText"/>
      </w:pPr>
      <w:r w:rsidRPr="00B12C29">
        <w:t>This unit contains employability s</w:t>
      </w:r>
      <w:r w:rsidRPr="00B12C29">
        <w:t>kills.</w:t>
      </w:r>
    </w:p>
    <w:p w:rsidR="00000000" w:rsidRPr="00B12C29" w:rsidP="00B12C29">
      <w:pPr>
        <w:pStyle w:val="AllowPageBreak"/>
      </w:pPr>
    </w:p>
    <w:p w:rsidR="00000000" w:rsidRPr="00B12C29" w:rsidP="00B12C29">
      <w:pPr>
        <w:pStyle w:val="Heading1"/>
      </w:pPr>
      <w:bookmarkStart w:id="7" w:name="O_394902"/>
      <w:bookmarkEnd w:id="7"/>
      <w:r w:rsidRPr="00B12C29">
        <w:t>Elements and Performance Criteria Pre-Content</w:t>
      </w:r>
    </w:p>
    <w:p w:rsidR="00000000" w:rsidRPr="00B12C29" w:rsidP="00B12C29">
      <w:pPr>
        <w:pStyle w:val="Heading1"/>
      </w:pPr>
      <w:bookmarkStart w:id="8" w:name="O_394903"/>
      <w:bookmarkEnd w:id="8"/>
      <w:r w:rsidRPr="00B12C29">
        <w:t>Elements and Performance Criteria</w:t>
      </w:r>
    </w:p>
    <w:tbl>
      <w:tblPr>
        <w:tblW w:w="0" w:type="auto"/>
        <w:tblCellMar>
          <w:left w:w="62" w:type="dxa"/>
          <w:right w:w="62" w:type="dxa"/>
        </w:tblCellMar>
        <w:tblLook w:val="0000"/>
      </w:tblPr>
      <w:tblGrid>
        <w:gridCol w:w="3791"/>
        <w:gridCol w:w="5405"/>
      </w:tblGrid>
      <w:tr w:rsidTr="009E1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2C29" w:rsidP="00B12C29">
            <w:pPr>
              <w:pStyle w:val="List"/>
            </w:pPr>
            <w:r w:rsidRPr="00B12C2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12C29">
            <w:pPr>
              <w:pStyle w:val="List"/>
              <w:rPr>
                <w:lang w:val="en-NZ"/>
              </w:rPr>
            </w:pPr>
            <w:r w:rsidRPr="00B12C29">
              <w:rPr>
                <w:rStyle w:val="SpecialBold"/>
              </w:rPr>
              <w:t>Performance Criteria</w:t>
            </w:r>
          </w:p>
        </w:tc>
      </w:tr>
      <w:tr w:rsidTr="009E181A">
        <w:tblPrEx>
          <w:tblW w:w="0" w:type="auto"/>
          <w:tblCellMar>
            <w:left w:w="62" w:type="dxa"/>
            <w:right w:w="62" w:type="dxa"/>
          </w:tblCellMar>
          <w:tblLook w:val="0000"/>
        </w:tblPrEx>
        <w:trPr>
          <w:trHeight w:val="1807"/>
        </w:trPr>
        <w:tc>
          <w:tcPr>
            <w:tcW w:w="0" w:type="auto"/>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t>Performance criteria describe the performance needed to demonstrate achievement of the element. Where bold italicised text is used, further information is detailed in the required skills and knowledge section and the range statement. Assessment of performa</w:t>
            </w:r>
            <w:r w:rsidRPr="00B12C29">
              <w:t>nce is to be consistent with the evidence guide.</w:t>
            </w:r>
          </w:p>
        </w:tc>
      </w:tr>
      <w:tr w:rsidTr="009E1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C29">
            <w:pPr>
              <w:pStyle w:val="List"/>
              <w:rPr>
                <w:lang w:val="en-NZ"/>
              </w:rPr>
            </w:pPr>
            <w:r w:rsidRPr="00B12C29">
              <w:t>1.</w:t>
            </w:r>
            <w:r w:rsidRPr="00B12C29">
              <w:tab/>
              <w:t>Respond to customer problems that may require product recall.</w:t>
            </w:r>
          </w:p>
        </w:tc>
        <w:tc>
          <w:tcPr>
            <w:tcW w:w="0" w:type="auto"/>
            <w:tcBorders>
              <w:top w:val="nil"/>
              <w:left w:val="nil"/>
              <w:bottom w:val="nil"/>
              <w:right w:val="nil"/>
            </w:tcBorders>
            <w:tcMar>
              <w:top w:w="0" w:type="dxa"/>
              <w:left w:w="62" w:type="dxa"/>
              <w:bottom w:w="0" w:type="dxa"/>
              <w:right w:w="62" w:type="dxa"/>
            </w:tcMar>
          </w:tcPr>
          <w:p w:rsidR="00000000" w:rsidRPr="00B12C29" w:rsidP="00B12C29">
            <w:pPr>
              <w:pStyle w:val="List"/>
            </w:pPr>
            <w:r w:rsidRPr="00B12C29">
              <w:t xml:space="preserve">1.1.Record details of complaint using </w:t>
            </w:r>
            <w:r w:rsidRPr="00B12C29">
              <w:rPr>
                <w:rStyle w:val="BoldandItalics"/>
              </w:rPr>
              <w:t>appropriate communication techniques</w:t>
            </w:r>
            <w:r w:rsidRPr="00B12C29">
              <w:t>.</w:t>
            </w:r>
          </w:p>
          <w:p w:rsidR="00000000" w:rsidRPr="00B12C29" w:rsidP="00B12C29">
            <w:pPr>
              <w:pStyle w:val="List"/>
            </w:pPr>
            <w:r w:rsidRPr="00B12C29">
              <w:t>1.2.Determine preliminary assessment of risk to public health and</w:t>
            </w:r>
            <w:r w:rsidRPr="00B12C29">
              <w:t xml:space="preserve"> safety.</w:t>
            </w:r>
          </w:p>
          <w:p w:rsidR="00000000" w:rsidRPr="00B12C29" w:rsidP="00B12C29">
            <w:pPr>
              <w:pStyle w:val="List"/>
            </w:pPr>
            <w:r w:rsidRPr="00B12C29">
              <w:t xml:space="preserve">1.3.Inform senior management of potential risk to public health and safety according to company </w:t>
            </w:r>
            <w:r w:rsidRPr="00B12C29">
              <w:rPr>
                <w:rStyle w:val="BoldandItalics"/>
              </w:rPr>
              <w:t>recall procedures</w:t>
            </w:r>
            <w:r w:rsidRPr="00B12C29">
              <w:t>.</w:t>
            </w:r>
          </w:p>
          <w:p w:rsidR="00000000" w:rsidRPr="00B12C29" w:rsidP="00B12C29">
            <w:pPr>
              <w:pStyle w:val="List"/>
            </w:pPr>
            <w:r w:rsidRPr="00B12C29">
              <w:t>1.4.Immediately inform manufacturer or vendor of complaint as required by organisational policy.</w:t>
            </w:r>
          </w:p>
          <w:p w:rsidR="00000000" w:rsidRPr="00B12C29" w:rsidP="00B12C29">
            <w:pPr>
              <w:pStyle w:val="List"/>
            </w:pPr>
            <w:r w:rsidRPr="00B12C29">
              <w:t>1.5.Withdraw any products determine</w:t>
            </w:r>
            <w:r w:rsidRPr="00B12C29">
              <w:t>d to pose immediate risk to public health and safety from sale according to company recall procedures.</w:t>
            </w:r>
          </w:p>
          <w:p w:rsidR="00000000" w:rsidP="00B12C29">
            <w:pPr>
              <w:pStyle w:val="List"/>
              <w:rPr>
                <w:lang w:val="en-NZ"/>
              </w:rPr>
            </w:pPr>
            <w:r w:rsidRPr="00B12C29">
              <w:t xml:space="preserve">1.6.Inform relevant public and industry </w:t>
            </w:r>
            <w:r w:rsidRPr="00B12C29">
              <w:rPr>
                <w:rStyle w:val="BoldandItalics"/>
              </w:rPr>
              <w:t>product recall bodies</w:t>
            </w:r>
            <w:r w:rsidRPr="00B12C29">
              <w:t>, on confirmation of risk.</w:t>
            </w:r>
          </w:p>
        </w:tc>
      </w:tr>
      <w:tr w:rsidTr="009E1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C29">
            <w:pPr>
              <w:pStyle w:val="List"/>
              <w:rPr>
                <w:lang w:val="en-NZ"/>
              </w:rPr>
            </w:pPr>
            <w:r w:rsidRPr="00B12C29">
              <w:t>2.</w:t>
            </w:r>
            <w:r w:rsidRPr="00B12C29">
              <w:tab/>
              <w:t>Respond to initial enquiries to clarify nature of product ris</w:t>
            </w:r>
            <w:r w:rsidRPr="00B12C29">
              <w:t>k.</w:t>
            </w:r>
          </w:p>
        </w:tc>
        <w:tc>
          <w:tcPr>
            <w:tcW w:w="0" w:type="auto"/>
            <w:tcBorders>
              <w:top w:val="nil"/>
              <w:left w:val="nil"/>
              <w:bottom w:val="nil"/>
              <w:right w:val="nil"/>
            </w:tcBorders>
            <w:tcMar>
              <w:top w:w="0" w:type="dxa"/>
              <w:left w:w="62" w:type="dxa"/>
              <w:bottom w:w="0" w:type="dxa"/>
              <w:right w:w="62" w:type="dxa"/>
            </w:tcMar>
          </w:tcPr>
          <w:p w:rsidR="00000000" w:rsidRPr="00B12C29" w:rsidP="00B12C29">
            <w:pPr>
              <w:pStyle w:val="List"/>
            </w:pPr>
            <w:r w:rsidRPr="00B12C29">
              <w:t>2.1.Detail process for determining risk and role of relevant public and industry product recall bodies.</w:t>
            </w:r>
          </w:p>
          <w:p w:rsidR="00000000" w:rsidP="00B12C29">
            <w:pPr>
              <w:pStyle w:val="List"/>
              <w:rPr>
                <w:lang w:val="en-NZ"/>
              </w:rPr>
            </w:pPr>
            <w:r w:rsidRPr="00B12C29">
              <w:t xml:space="preserve">2.2.Investigate and ascertain nature of risk and </w:t>
            </w:r>
            <w:r w:rsidRPr="00B12C29">
              <w:rPr>
                <w:rStyle w:val="BoldandItalics"/>
              </w:rPr>
              <w:t>report</w:t>
            </w:r>
            <w:r w:rsidRPr="00B12C29">
              <w:t xml:space="preserve"> to relevant public and industry product recall bodies.</w:t>
            </w:r>
          </w:p>
        </w:tc>
      </w:tr>
      <w:tr w:rsidTr="009E18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2C29">
            <w:pPr>
              <w:pStyle w:val="List"/>
              <w:rPr>
                <w:lang w:val="en-NZ"/>
              </w:rPr>
            </w:pPr>
            <w:r w:rsidRPr="00B12C29">
              <w:t>3.</w:t>
            </w:r>
            <w:r w:rsidRPr="00B12C29">
              <w:tab/>
            </w:r>
            <w:r w:rsidRPr="00B12C29">
              <w:t>Respond to initial enquiries to clarify nature of product risk.</w:t>
            </w:r>
          </w:p>
        </w:tc>
        <w:tc>
          <w:tcPr>
            <w:tcW w:w="0" w:type="auto"/>
            <w:tcBorders>
              <w:top w:val="nil"/>
              <w:left w:val="nil"/>
              <w:bottom w:val="nil"/>
              <w:right w:val="nil"/>
            </w:tcBorders>
            <w:tcMar>
              <w:top w:w="0" w:type="dxa"/>
              <w:left w:w="62" w:type="dxa"/>
              <w:bottom w:w="0" w:type="dxa"/>
              <w:right w:w="62" w:type="dxa"/>
            </w:tcMar>
          </w:tcPr>
          <w:p w:rsidR="00000000" w:rsidRPr="00B12C29" w:rsidP="00B12C29">
            <w:pPr>
              <w:pStyle w:val="List"/>
            </w:pPr>
            <w:r w:rsidRPr="00B12C29">
              <w:t>3.1.Administer</w:t>
            </w:r>
            <w:r w:rsidRPr="00B12C29">
              <w:rPr>
                <w:rStyle w:val="BoldandItalics"/>
              </w:rPr>
              <w:t xml:space="preserve"> product recall activities</w:t>
            </w:r>
            <w:r w:rsidRPr="00B12C29">
              <w:t>, according to company and legislative procedures.</w:t>
            </w:r>
          </w:p>
          <w:p w:rsidR="00000000" w:rsidRPr="00B12C29" w:rsidP="00B12C29">
            <w:pPr>
              <w:pStyle w:val="List"/>
            </w:pPr>
            <w:r w:rsidRPr="00B12C29">
              <w:t>3.2.Complete recalls effectively within set time constraints.</w:t>
            </w:r>
          </w:p>
          <w:p w:rsidR="00000000" w:rsidRPr="00B12C29" w:rsidP="00B12C29">
            <w:pPr>
              <w:pStyle w:val="List"/>
            </w:pPr>
            <w:r w:rsidRPr="00B12C29">
              <w:t>3.3.Establish instructions for recall p</w:t>
            </w:r>
            <w:r w:rsidRPr="00B12C29">
              <w:t>rocedures and contingencies in a timely and efficient manner.</w:t>
            </w:r>
          </w:p>
        </w:tc>
      </w:tr>
    </w:tbl>
    <w:p w:rsidR="00000000" w:rsidRPr="00B12C29" w:rsidP="00B12C29">
      <w:pPr>
        <w:pStyle w:val="List"/>
      </w:pPr>
    </w:p>
    <w:p w:rsidR="00000000" w:rsidRPr="00B12C29" w:rsidP="00B12C29">
      <w:pPr>
        <w:pStyle w:val="AllowPageBreak"/>
      </w:pPr>
    </w:p>
    <w:p w:rsidR="00000000" w:rsidRPr="00B12C29" w:rsidP="00B12C29">
      <w:pPr>
        <w:pStyle w:val="Heading1"/>
      </w:pPr>
      <w:bookmarkStart w:id="9" w:name="O_394894"/>
      <w:bookmarkEnd w:id="9"/>
      <w:r w:rsidRPr="00B12C29">
        <w:t>Required Skills and Knowledge</w:t>
      </w:r>
    </w:p>
    <w:tbl>
      <w:tblPr>
        <w:tblW w:w="0" w:type="auto"/>
        <w:tblLayout w:type="fixed"/>
        <w:tblCellMar>
          <w:left w:w="62" w:type="dxa"/>
          <w:right w:w="62" w:type="dxa"/>
        </w:tblCellMar>
        <w:tblLook w:val="0000"/>
      </w:tblPr>
      <w:tblGrid>
        <w:gridCol w:w="9180"/>
      </w:tblGrid>
      <w:tr w:rsidTr="009E18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t>This section describes the essential skills and knowledge and their level, required for this unit.</w:t>
            </w:r>
          </w:p>
        </w:tc>
      </w:tr>
      <w:tr w:rsidTr="009E18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SpecialBold"/>
              </w:rPr>
              <w:t>Required skills</w:t>
            </w:r>
          </w:p>
        </w:tc>
      </w:tr>
      <w:tr w:rsidTr="009E18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12C29" w:rsidP="00B12C29">
            <w:pPr>
              <w:pStyle w:val="ListBullet"/>
            </w:pPr>
            <w:r w:rsidRPr="00B12C29">
              <w:t xml:space="preserve">literacy and numeracy skills to record and report all actions </w:t>
            </w:r>
          </w:p>
          <w:p w:rsidR="00000000" w:rsidRPr="00B12C29" w:rsidP="00B12C29">
            <w:pPr>
              <w:pStyle w:val="ListBullet"/>
            </w:pPr>
            <w:r w:rsidRPr="00B12C29">
              <w:t>analytical and decision-making skills to determine response to customer complaint</w:t>
            </w:r>
          </w:p>
          <w:p w:rsidR="00000000" w:rsidRPr="00B12C29" w:rsidP="00B12C29">
            <w:pPr>
              <w:pStyle w:val="ListBullet"/>
            </w:pPr>
            <w:r w:rsidRPr="00B12C29">
              <w:t>planning and organisational skills to administer product recall activities</w:t>
            </w:r>
          </w:p>
          <w:p w:rsidR="00000000" w:rsidRPr="00B12C29" w:rsidP="00B12C29">
            <w:pPr>
              <w:pStyle w:val="ListBullet"/>
            </w:pPr>
            <w:r w:rsidRPr="00B12C29">
              <w:t>interpersonal skills to:</w:t>
            </w:r>
          </w:p>
          <w:p w:rsidR="00000000" w:rsidRPr="00B12C29" w:rsidP="00B12C29">
            <w:pPr>
              <w:pStyle w:val="ListBullet2"/>
            </w:pPr>
            <w:r w:rsidRPr="00B12C29">
              <w:t>communicat</w:t>
            </w:r>
            <w:r w:rsidRPr="00B12C29">
              <w:t>e with internal and external parties, including consumer groups, media, government bodies, business customers and supplier and individual consumers, including thorough, clear and direct communication</w:t>
            </w:r>
          </w:p>
          <w:p w:rsidR="00000000" w:rsidRPr="00B12C29" w:rsidP="00B12C29">
            <w:pPr>
              <w:pStyle w:val="ListBullet2"/>
            </w:pPr>
            <w:r w:rsidRPr="00B12C29">
              <w:t>ask questions to identify and confirm requirements</w:t>
            </w:r>
          </w:p>
          <w:p w:rsidR="00000000" w:rsidRPr="00B12C29" w:rsidP="00B12C29">
            <w:pPr>
              <w:pStyle w:val="ListBullet2"/>
            </w:pPr>
            <w:r w:rsidRPr="00B12C29">
              <w:t>share information</w:t>
            </w:r>
          </w:p>
          <w:p w:rsidR="00000000" w:rsidRPr="00B12C29" w:rsidP="00B12C29">
            <w:pPr>
              <w:pStyle w:val="ListBullet2"/>
            </w:pPr>
            <w:r w:rsidRPr="00B12C29">
              <w:t>give instructions</w:t>
            </w:r>
          </w:p>
          <w:p w:rsidR="00000000" w:rsidRPr="00B12C29" w:rsidP="00B12C29">
            <w:pPr>
              <w:pStyle w:val="ListBullet2"/>
            </w:pPr>
            <w:r w:rsidRPr="00B12C29">
              <w:t>use language and concepts appropriate to cultural differences</w:t>
            </w:r>
          </w:p>
          <w:p w:rsidR="00000000" w:rsidP="00B12C29">
            <w:pPr>
              <w:pStyle w:val="ListBullet2"/>
              <w:rPr>
                <w:lang w:val="en-NZ"/>
              </w:rPr>
            </w:pPr>
            <w:r w:rsidRPr="00B12C29">
              <w:t>use and interpret non-verbal communication</w:t>
            </w:r>
          </w:p>
        </w:tc>
      </w:tr>
      <w:tr w:rsidTr="009E18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SpecialBold"/>
              </w:rPr>
              <w:t>Required knowledge</w:t>
            </w:r>
          </w:p>
        </w:tc>
      </w:tr>
      <w:tr w:rsidTr="009E18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12C29" w:rsidP="00B12C29">
            <w:pPr>
              <w:pStyle w:val="ListBullet2"/>
            </w:pPr>
            <w:r w:rsidRPr="00B12C29">
              <w:t>Australian Standards and Food Standards Australia New Zealand requirements for product recall</w:t>
            </w:r>
            <w:r w:rsidRPr="00B12C29">
              <w:t xml:space="preserve"> procedures</w:t>
            </w:r>
          </w:p>
          <w:p w:rsidR="00000000" w:rsidRPr="00B12C29" w:rsidP="00B12C29">
            <w:pPr>
              <w:pStyle w:val="ListBullet2"/>
            </w:pPr>
            <w:r w:rsidRPr="00B12C29">
              <w:t>correct reporting procedures</w:t>
            </w:r>
          </w:p>
          <w:p w:rsidR="00000000" w:rsidRPr="00B12C29" w:rsidP="00B12C29">
            <w:pPr>
              <w:pStyle w:val="ListBullet2"/>
            </w:pPr>
            <w:r w:rsidRPr="00B12C29">
              <w:t>recall process</w:t>
            </w:r>
          </w:p>
          <w:p w:rsidR="00000000" w:rsidRPr="00B12C29" w:rsidP="00B12C29">
            <w:pPr>
              <w:pStyle w:val="ListBullet2"/>
            </w:pPr>
            <w:r w:rsidRPr="00B12C29">
              <w:t>public liability obligations</w:t>
            </w:r>
          </w:p>
          <w:p w:rsidR="00000000" w:rsidRPr="00B12C29" w:rsidP="00B12C29">
            <w:pPr>
              <w:pStyle w:val="ListBullet2"/>
            </w:pPr>
            <w:r w:rsidRPr="00B12C29">
              <w:t xml:space="preserve">implications of differing contract types and contexts </w:t>
            </w:r>
          </w:p>
          <w:p w:rsidR="00000000" w:rsidRPr="00B12C29" w:rsidP="00B12C29">
            <w:pPr>
              <w:pStyle w:val="ListBullet2"/>
            </w:pPr>
            <w:r w:rsidRPr="00B12C29">
              <w:t>consumer groups and representative bodies</w:t>
            </w:r>
          </w:p>
          <w:p w:rsidR="00000000" w:rsidRPr="00B12C29" w:rsidP="00B12C29">
            <w:pPr>
              <w:pStyle w:val="ListBullet2"/>
            </w:pPr>
            <w:r w:rsidRPr="00B12C29">
              <w:t xml:space="preserve">relevant government agencies </w:t>
            </w:r>
          </w:p>
          <w:p w:rsidR="00000000" w:rsidRPr="00B12C29" w:rsidP="00B12C29">
            <w:pPr>
              <w:pStyle w:val="ListBullet2"/>
            </w:pPr>
            <w:r w:rsidRPr="00B12C29">
              <w:t>relevant commercial law and legislation</w:t>
            </w:r>
          </w:p>
          <w:p w:rsidR="00000000" w:rsidRPr="00B12C29" w:rsidP="00B12C29">
            <w:pPr>
              <w:pStyle w:val="ListBullet2"/>
            </w:pPr>
            <w:r w:rsidRPr="00B12C29">
              <w:t>rights and responsibilities of all parties</w:t>
            </w:r>
          </w:p>
          <w:p w:rsidR="00000000" w:rsidRPr="00B12C29" w:rsidP="00B12C29">
            <w:pPr>
              <w:pStyle w:val="ListBullet2"/>
            </w:pPr>
            <w:r w:rsidRPr="00B12C29">
              <w:t>transport, storage and disposal of recalled products</w:t>
            </w:r>
          </w:p>
          <w:p w:rsidR="00000000" w:rsidRPr="00B12C29" w:rsidP="00B12C29">
            <w:pPr>
              <w:pStyle w:val="ListBullet2"/>
            </w:pPr>
            <w:r w:rsidRPr="00B12C29">
              <w:t>Australian Competition and Consumer Commission (ACCC) provisions</w:t>
            </w:r>
          </w:p>
          <w:p w:rsidR="00000000" w:rsidRPr="00B12C29" w:rsidP="00B12C29">
            <w:pPr>
              <w:pStyle w:val="ListBullet2"/>
            </w:pPr>
            <w:r w:rsidRPr="00B12C29">
              <w:t>information sources on product and supply arrangements for customers</w:t>
            </w:r>
          </w:p>
          <w:p w:rsidR="00000000" w:rsidRPr="00B12C29" w:rsidP="00B12C29">
            <w:pPr>
              <w:pStyle w:val="ListBullet2"/>
            </w:pPr>
            <w:r w:rsidRPr="00B12C29">
              <w:t>business policy and proced</w:t>
            </w:r>
            <w:r w:rsidRPr="00B12C29">
              <w:t>ures affecting job role or function</w:t>
            </w:r>
          </w:p>
          <w:p w:rsidR="00000000" w:rsidRPr="00B12C29" w:rsidP="00B12C29">
            <w:pPr>
              <w:pStyle w:val="ListBullet2"/>
            </w:pPr>
            <w:r w:rsidRPr="00B12C29">
              <w:t>Work Health and Safety (WHS) aspects of job</w:t>
            </w:r>
          </w:p>
        </w:tc>
      </w:tr>
    </w:tbl>
    <w:p w:rsidR="00000000" w:rsidRPr="00B12C29" w:rsidP="00B12C29">
      <w:pPr>
        <w:pStyle w:val="BodyText"/>
      </w:pPr>
    </w:p>
    <w:p w:rsidR="00000000" w:rsidRPr="00B12C29" w:rsidP="00B12C29">
      <w:pPr>
        <w:pStyle w:val="AllowPageBreak"/>
      </w:pPr>
    </w:p>
    <w:p w:rsidR="00000000" w:rsidRPr="00B12C29" w:rsidP="00B12C29">
      <w:pPr>
        <w:pStyle w:val="Heading1"/>
      </w:pPr>
      <w:bookmarkStart w:id="10" w:name="O_394900"/>
      <w:bookmarkEnd w:id="10"/>
      <w:r w:rsidRPr="00B12C29">
        <w:t>Evidence Guide</w:t>
      </w:r>
    </w:p>
    <w:tbl>
      <w:tblPr>
        <w:tblW w:w="0" w:type="auto"/>
        <w:tblLayout w:type="fixed"/>
        <w:tblCellMar>
          <w:left w:w="62" w:type="dxa"/>
          <w:right w:w="62" w:type="dxa"/>
        </w:tblCellMar>
        <w:tblLook w:val="0000"/>
      </w:tblPr>
      <w:tblGrid>
        <w:gridCol w:w="3330"/>
        <w:gridCol w:w="5850"/>
      </w:tblGrid>
      <w:tr w:rsidTr="009E18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t>The evidence guide provides advice on assessment and must be read in conjunction with the performance criteria, required skills and knowledge,</w:t>
            </w:r>
            <w:r w:rsidRPr="00B12C29">
              <w:t xml:space="preserve"> the range statement and the Assessment Guidelines for this Training Package.</w:t>
            </w:r>
          </w:p>
        </w:tc>
      </w:tr>
      <w:tr w:rsidTr="009E181A">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SpecialBold"/>
              </w:rPr>
              <w:t>Critical aspects for assessment and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B12C29" w:rsidP="00B12C29">
            <w:pPr>
              <w:pStyle w:val="BodyText"/>
            </w:pPr>
            <w:r w:rsidRPr="00B12C29">
              <w:t>Evidence of the following is essential:</w:t>
            </w:r>
          </w:p>
          <w:p w:rsidR="00000000" w:rsidRPr="00B12C29" w:rsidP="00B12C29">
            <w:pPr>
              <w:pStyle w:val="ListBullet2"/>
            </w:pPr>
            <w:r w:rsidRPr="00B12C29">
              <w:t>responds to customer complaints in a positive and timely fashion in line with confidentiality requirements, company policy and relevant legislation</w:t>
            </w:r>
          </w:p>
          <w:p w:rsidR="00000000" w:rsidRPr="00B12C29" w:rsidP="00B12C29">
            <w:pPr>
              <w:pStyle w:val="ListBullet2"/>
            </w:pPr>
            <w:r w:rsidRPr="00B12C29">
              <w:t>interprets and communicates information to customers, supervisors, staff, external stakeholders and business</w:t>
            </w:r>
            <w:r w:rsidRPr="00B12C29">
              <w:t xml:space="preserve"> customers</w:t>
            </w:r>
          </w:p>
          <w:p w:rsidR="00000000" w:rsidRPr="00B12C29" w:rsidP="00B12C29">
            <w:pPr>
              <w:pStyle w:val="ListBullet2"/>
            </w:pPr>
            <w:r w:rsidRPr="00B12C29">
              <w:t>identifies and accesses relevant and accurate information to evaluate potential risks</w:t>
            </w:r>
          </w:p>
          <w:p w:rsidR="00000000" w:rsidRPr="00B12C29" w:rsidP="00B12C29">
            <w:pPr>
              <w:pStyle w:val="ListBullet2"/>
            </w:pPr>
            <w:r w:rsidRPr="00B12C29">
              <w:t>responsibly and effectively manages recall process for a worksite or recall activity according to company policy</w:t>
            </w:r>
          </w:p>
          <w:p w:rsidR="00000000" w:rsidP="00B12C29">
            <w:pPr>
              <w:pStyle w:val="ListBullet2"/>
              <w:rPr>
                <w:lang w:val="en-NZ"/>
              </w:rPr>
            </w:pPr>
            <w:r w:rsidRPr="00B12C29">
              <w:t>organises, plans or completes recall and withd</w:t>
            </w:r>
            <w:r w:rsidRPr="00B12C29">
              <w:t>rawal procedures to recall notices initiated by business, manufacturer or government.</w:t>
            </w:r>
          </w:p>
        </w:tc>
      </w:tr>
      <w:tr w:rsidTr="009E181A">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B12C29" w:rsidP="00B12C29">
            <w:pPr>
              <w:pStyle w:val="BodyText"/>
            </w:pPr>
            <w:r w:rsidRPr="00B12C29">
              <w:t>Assessment must ensure access to:</w:t>
            </w:r>
          </w:p>
          <w:p w:rsidR="00000000" w:rsidRPr="00B12C29" w:rsidP="00B12C29">
            <w:pPr>
              <w:pStyle w:val="ListBullet2"/>
            </w:pPr>
            <w:r w:rsidRPr="00B12C29">
              <w:t>a sales-oriented work environment</w:t>
            </w:r>
          </w:p>
          <w:p w:rsidR="00000000" w:rsidRPr="00B12C29" w:rsidP="00B12C29">
            <w:pPr>
              <w:pStyle w:val="ListBullet2"/>
            </w:pPr>
            <w:r w:rsidRPr="00B12C29">
              <w:t>relevant sources of product information</w:t>
            </w:r>
          </w:p>
          <w:p w:rsidR="00000000" w:rsidRPr="00B12C29" w:rsidP="00B12C29">
            <w:pPr>
              <w:pStyle w:val="ListBullet2"/>
            </w:pPr>
            <w:r w:rsidRPr="00B12C29">
              <w:t>relevant documentation, such as:</w:t>
            </w:r>
          </w:p>
          <w:p w:rsidR="00000000" w:rsidRPr="00B12C29" w:rsidP="00B12C29">
            <w:pPr>
              <w:pStyle w:val="ListBullet3"/>
            </w:pPr>
            <w:r w:rsidRPr="00B12C29">
              <w:t>policy and procedures manuals</w:t>
            </w:r>
          </w:p>
          <w:p w:rsidR="00000000" w:rsidP="00B12C29">
            <w:pPr>
              <w:pStyle w:val="ListBullet3"/>
              <w:rPr>
                <w:lang w:val="en-NZ"/>
              </w:rPr>
            </w:pPr>
            <w:r w:rsidRPr="00B12C29">
              <w:t>relevant legislation and guidelines.</w:t>
            </w:r>
          </w:p>
        </w:tc>
      </w:tr>
      <w:tr w:rsidTr="009E181A">
        <w:tblPrEx>
          <w:tblW w:w="0" w:type="auto"/>
          <w:tblLayout w:type="fixed"/>
          <w:tblCellMar>
            <w:left w:w="62" w:type="dxa"/>
            <w:right w:w="62" w:type="dxa"/>
          </w:tblCellMar>
          <w:tblLook w:val="0000"/>
        </w:tblPrEx>
        <w:trPr>
          <w:trHeight w:val="2544"/>
        </w:trPr>
        <w:tc>
          <w:tcPr>
            <w:tcW w:w="3330"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B12C29" w:rsidP="00B12C29">
            <w:pPr>
              <w:pStyle w:val="BodyText"/>
            </w:pPr>
            <w:r w:rsidRPr="00B12C29">
              <w:t>A range of assessment methods should be used to assess practical skills and knowledge. The following examples are appropriate for this unit:</w:t>
            </w:r>
          </w:p>
          <w:p w:rsidR="00000000" w:rsidRPr="00B12C29" w:rsidP="00B12C29">
            <w:pPr>
              <w:pStyle w:val="ListBullet2"/>
            </w:pPr>
            <w:r w:rsidRPr="00B12C29">
              <w:t>observation of performance in the workplace</w:t>
            </w:r>
          </w:p>
          <w:p w:rsidR="00000000" w:rsidRPr="00B12C29" w:rsidP="00B12C29">
            <w:pPr>
              <w:pStyle w:val="ListBullet2"/>
            </w:pPr>
            <w:r w:rsidRPr="00B12C29">
              <w:t>third-party reports from a supervisor</w:t>
            </w:r>
          </w:p>
          <w:p w:rsidR="00000000" w:rsidRPr="00B12C29" w:rsidP="00B12C29">
            <w:pPr>
              <w:pStyle w:val="ListBullet2"/>
            </w:pPr>
            <w:r w:rsidRPr="00B12C29">
              <w:t>written or verbal questioning to assess knowledge and understanding</w:t>
            </w:r>
          </w:p>
          <w:p w:rsidR="00000000" w:rsidP="00B12C29">
            <w:pPr>
              <w:pStyle w:val="ListBullet2"/>
              <w:rPr>
                <w:lang w:val="en-NZ"/>
              </w:rPr>
            </w:pPr>
            <w:r w:rsidRPr="00B12C29">
              <w:t>review of portfolios of evidence and third-party workplace reports of on-the-job performance.</w:t>
            </w:r>
          </w:p>
        </w:tc>
      </w:tr>
      <w:tr w:rsidTr="009E181A">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B12C29" w:rsidP="00B12C29">
            <w:pPr>
              <w:pStyle w:val="BodyText"/>
            </w:pPr>
            <w:r w:rsidRPr="00B12C29">
              <w:t>Holistic assessment with other units relevant to the indu</w:t>
            </w:r>
            <w:r w:rsidRPr="00B12C29">
              <w:t>stry sector, workplace and job role is recommended.</w:t>
            </w:r>
          </w:p>
        </w:tc>
      </w:tr>
    </w:tbl>
    <w:p w:rsidR="00000000" w:rsidRPr="00B12C29" w:rsidP="00B12C29">
      <w:pPr>
        <w:pStyle w:val="BodyText"/>
      </w:pPr>
    </w:p>
    <w:p w:rsidR="00000000" w:rsidRPr="00B12C29" w:rsidP="00B12C29">
      <w:pPr>
        <w:pStyle w:val="AllowPageBreak"/>
      </w:pPr>
    </w:p>
    <w:p w:rsidR="00000000" w:rsidRPr="00B12C29" w:rsidP="00B12C29">
      <w:pPr>
        <w:pStyle w:val="Heading1"/>
      </w:pPr>
      <w:bookmarkStart w:id="11" w:name="O_394895"/>
      <w:bookmarkEnd w:id="11"/>
      <w:r w:rsidRPr="00B12C29">
        <w:t>Range Statement</w:t>
      </w:r>
    </w:p>
    <w:tbl>
      <w:tblPr>
        <w:tblW w:w="0" w:type="auto"/>
        <w:tblLayout w:type="fixed"/>
        <w:tblCellMar>
          <w:left w:w="62" w:type="dxa"/>
          <w:right w:w="62" w:type="dxa"/>
        </w:tblCellMar>
        <w:tblLook w:val="0000"/>
      </w:tblPr>
      <w:tblGrid>
        <w:gridCol w:w="3345"/>
        <w:gridCol w:w="5835"/>
      </w:tblGrid>
      <w:tr w:rsidTr="009E18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t xml:space="preserve">The range statement relates to the unit of competency as a whole. It allows for different work environments and situations that may affect performance. </w:t>
            </w:r>
            <w:r w:rsidRPr="00B12C29">
              <w:rPr>
                <w:rStyle w:val="BoldandItalics"/>
              </w:rPr>
              <w:t>Bold italicised</w:t>
            </w:r>
            <w:r w:rsidRPr="00B12C29">
              <w:t xml:space="preserve"> wording in the performance criteria is detailed below.</w:t>
            </w:r>
          </w:p>
        </w:tc>
      </w:tr>
      <w:tr w:rsidTr="009E18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BoldandItalics"/>
              </w:rPr>
              <w:t>Appropriate communication techniques</w:t>
            </w:r>
            <w:r w:rsidRPr="00B12C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2C29" w:rsidP="00B12C29">
            <w:pPr>
              <w:pStyle w:val="ListBullet2"/>
            </w:pPr>
            <w:r w:rsidRPr="00B12C29">
              <w:t>using appropriate, open and inclusive language</w:t>
            </w:r>
          </w:p>
          <w:p w:rsidR="00000000" w:rsidRPr="00B12C29" w:rsidP="00B12C29">
            <w:pPr>
              <w:pStyle w:val="ListBullet2"/>
            </w:pPr>
            <w:r w:rsidRPr="00B12C29">
              <w:t>using languages other than English including local community languages, Indigenous languages and vis</w:t>
            </w:r>
            <w:r w:rsidRPr="00B12C29">
              <w:t>ual languages such as sign language</w:t>
            </w:r>
          </w:p>
          <w:p w:rsidR="00000000" w:rsidRPr="00B12C29" w:rsidP="00B12C29">
            <w:pPr>
              <w:pStyle w:val="ListBullet2"/>
            </w:pPr>
            <w:r w:rsidRPr="00B12C29">
              <w:t>speaking clearly and concisely</w:t>
            </w:r>
          </w:p>
          <w:p w:rsidR="00000000" w:rsidP="00B12C29">
            <w:pPr>
              <w:pStyle w:val="ListBullet2"/>
              <w:rPr>
                <w:lang w:val="en-NZ"/>
              </w:rPr>
            </w:pPr>
            <w:r w:rsidRPr="00B12C29">
              <w:t>non-verbal communication.</w:t>
            </w:r>
          </w:p>
        </w:tc>
      </w:tr>
      <w:tr w:rsidTr="009E18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BoldandItalics"/>
              </w:rPr>
              <w:t>Recall procedures</w:t>
            </w:r>
            <w:r w:rsidRPr="00B12C29">
              <w:t xml:space="preserve"> and standards include:</w:t>
            </w:r>
          </w:p>
        </w:tc>
        <w:tc>
          <w:tcPr>
            <w:tcW w:w="5835" w:type="dxa"/>
            <w:tcBorders>
              <w:top w:val="nil"/>
              <w:left w:val="nil"/>
              <w:bottom w:val="nil"/>
              <w:right w:val="nil"/>
            </w:tcBorders>
            <w:tcMar>
              <w:top w:w="0" w:type="dxa"/>
              <w:left w:w="62" w:type="dxa"/>
              <w:bottom w:w="0" w:type="dxa"/>
              <w:right w:w="62" w:type="dxa"/>
            </w:tcMar>
          </w:tcPr>
          <w:p w:rsidR="00000000" w:rsidRPr="00B12C29" w:rsidP="00B12C29">
            <w:pPr>
              <w:pStyle w:val="ListBullet2"/>
            </w:pPr>
            <w:r w:rsidRPr="00B12C29">
              <w:t>those outlined by Food Standards Australia New Zealand, trade practices legislation and procedure manuals</w:t>
            </w:r>
          </w:p>
          <w:p w:rsidR="00000000" w:rsidRPr="00B12C29" w:rsidP="00B12C29">
            <w:pPr>
              <w:pStyle w:val="ListBullet2"/>
            </w:pPr>
            <w:r w:rsidRPr="00B12C29">
              <w:t>business operating procedures</w:t>
            </w:r>
          </w:p>
          <w:p w:rsidR="00000000" w:rsidP="00B12C29">
            <w:pPr>
              <w:pStyle w:val="ListBullet2"/>
              <w:rPr>
                <w:lang w:val="en-NZ"/>
              </w:rPr>
            </w:pPr>
            <w:r w:rsidRPr="00B12C29">
              <w:t>relevant Australian Standards for product manufacturer, maintenance, storage, transportation, handling or sale.</w:t>
            </w:r>
          </w:p>
        </w:tc>
      </w:tr>
      <w:tr w:rsidTr="009E18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BoldandItalics"/>
              </w:rPr>
              <w:t>Product recall bodies</w:t>
            </w:r>
            <w:r w:rsidRPr="00B12C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2C29" w:rsidP="00B12C29">
            <w:pPr>
              <w:pStyle w:val="ListBullet2"/>
            </w:pPr>
            <w:r w:rsidRPr="00B12C29">
              <w:t>recall coordinating committee</w:t>
            </w:r>
          </w:p>
          <w:p w:rsidR="00000000" w:rsidRPr="00B12C29" w:rsidP="00B12C29">
            <w:pPr>
              <w:pStyle w:val="ListBullet2"/>
            </w:pPr>
            <w:r w:rsidRPr="00B12C29">
              <w:t>manufacturer or industry recall committee</w:t>
            </w:r>
          </w:p>
          <w:p w:rsidR="00000000" w:rsidRPr="00B12C29" w:rsidP="00B12C29">
            <w:pPr>
              <w:pStyle w:val="ListBullet2"/>
            </w:pPr>
            <w:r w:rsidRPr="00B12C29">
              <w:t xml:space="preserve"> Aust</w:t>
            </w:r>
            <w:r w:rsidRPr="00B12C29">
              <w:t>ralian Competition and Consumer Commission</w:t>
            </w:r>
          </w:p>
          <w:p w:rsidR="00000000" w:rsidRPr="00B12C29" w:rsidP="00B12C29">
            <w:pPr>
              <w:pStyle w:val="ListBullet2"/>
            </w:pPr>
            <w:r w:rsidRPr="00B12C29">
              <w:t xml:space="preserve">Food Standards Australia New Zealand </w:t>
            </w:r>
          </w:p>
          <w:p w:rsidR="00000000" w:rsidRPr="00B12C29" w:rsidP="00B12C29">
            <w:pPr>
              <w:pStyle w:val="ListBullet2"/>
            </w:pPr>
            <w:r w:rsidRPr="00B12C29">
              <w:t>Australian Food Council</w:t>
            </w:r>
          </w:p>
          <w:p w:rsidR="00000000" w:rsidRPr="00B12C29" w:rsidP="00B12C29">
            <w:pPr>
              <w:pStyle w:val="ListBullet2"/>
            </w:pPr>
            <w:r w:rsidRPr="00B12C29">
              <w:t>Grocery Manufacturers of Australia</w:t>
            </w:r>
          </w:p>
          <w:p w:rsidR="00000000" w:rsidRPr="00B12C29" w:rsidP="00B12C29">
            <w:pPr>
              <w:pStyle w:val="ListBullet2"/>
            </w:pPr>
            <w:r w:rsidRPr="00B12C29">
              <w:t>retail, wholesale and distribution bodies</w:t>
            </w:r>
          </w:p>
          <w:p w:rsidR="00000000" w:rsidP="00B12C29">
            <w:pPr>
              <w:pStyle w:val="ListBullet2"/>
              <w:rPr>
                <w:lang w:val="en-NZ"/>
              </w:rPr>
            </w:pPr>
            <w:r w:rsidRPr="00B12C29">
              <w:t>federal and state or territory bodies, including those responsible for hea</w:t>
            </w:r>
            <w:r w:rsidRPr="00B12C29">
              <w:t>lth, consumer affairs, industry, science and tourism.</w:t>
            </w:r>
          </w:p>
        </w:tc>
      </w:tr>
      <w:tr w:rsidTr="009E18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BoldandItalics"/>
              </w:rPr>
              <w:t>Reports</w:t>
            </w:r>
            <w:r w:rsidRPr="00B12C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2C29" w:rsidP="00B12C29">
            <w:pPr>
              <w:pStyle w:val="ListBullet2"/>
            </w:pPr>
            <w:r w:rsidRPr="00B12C29">
              <w:t>risk assessment report</w:t>
            </w:r>
          </w:p>
          <w:p w:rsidR="00000000" w:rsidRPr="00B12C29" w:rsidP="00B12C29">
            <w:pPr>
              <w:pStyle w:val="ListBullet2"/>
            </w:pPr>
            <w:r w:rsidRPr="00B12C29">
              <w:t>customer complaint</w:t>
            </w:r>
          </w:p>
          <w:p w:rsidR="00000000" w:rsidRPr="00B12C29" w:rsidP="00B12C29">
            <w:pPr>
              <w:pStyle w:val="ListBullet2"/>
            </w:pPr>
            <w:r w:rsidRPr="00B12C29">
              <w:t xml:space="preserve">nature of contamination </w:t>
            </w:r>
          </w:p>
          <w:p w:rsidR="00000000" w:rsidRPr="00B12C29" w:rsidP="00B12C29">
            <w:pPr>
              <w:pStyle w:val="ListBullet2"/>
            </w:pPr>
            <w:r w:rsidRPr="00B12C29">
              <w:t>nature of complaint</w:t>
            </w:r>
          </w:p>
          <w:p w:rsidR="00000000" w:rsidRPr="00B12C29" w:rsidP="00B12C29">
            <w:pPr>
              <w:pStyle w:val="ListBullet2"/>
            </w:pPr>
            <w:r w:rsidRPr="00B12C29">
              <w:t>characteristics of product: fresh food, long-life, grocery, general merchandise, c</w:t>
            </w:r>
            <w:r w:rsidRPr="00B12C29">
              <w:t>hilled, packaged, unpackaged</w:t>
            </w:r>
          </w:p>
          <w:p w:rsidR="00000000" w:rsidP="00B12C29">
            <w:pPr>
              <w:pStyle w:val="ListBullet2"/>
              <w:rPr>
                <w:lang w:val="en-NZ"/>
              </w:rPr>
            </w:pPr>
            <w:r w:rsidRPr="00B12C29">
              <w:t>police report.</w:t>
            </w:r>
          </w:p>
        </w:tc>
      </w:tr>
      <w:tr w:rsidTr="009E18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2C29">
            <w:pPr>
              <w:pStyle w:val="BodyText"/>
              <w:rPr>
                <w:lang w:val="en-NZ"/>
              </w:rPr>
            </w:pPr>
            <w:r w:rsidRPr="00B12C29">
              <w:rPr>
                <w:rStyle w:val="BoldandItalics"/>
              </w:rPr>
              <w:t>Product recall activities</w:t>
            </w:r>
            <w:r w:rsidRPr="00B12C2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2C29" w:rsidP="00B12C29">
            <w:pPr>
              <w:pStyle w:val="ListBullet2"/>
            </w:pPr>
            <w:r w:rsidRPr="00B12C29">
              <w:t>timing</w:t>
            </w:r>
          </w:p>
          <w:p w:rsidR="00000000" w:rsidRPr="00B12C29" w:rsidP="00B12C29">
            <w:pPr>
              <w:pStyle w:val="ListBullet2"/>
            </w:pPr>
            <w:r w:rsidRPr="00B12C29">
              <w:t>warnings</w:t>
            </w:r>
          </w:p>
          <w:p w:rsidR="00000000" w:rsidRPr="00B12C29" w:rsidP="00B12C29">
            <w:pPr>
              <w:pStyle w:val="ListBullet2"/>
            </w:pPr>
            <w:r w:rsidRPr="00B12C29">
              <w:t>insurance issues</w:t>
            </w:r>
          </w:p>
          <w:p w:rsidR="00000000" w:rsidRPr="00B12C29" w:rsidP="00B12C29">
            <w:pPr>
              <w:pStyle w:val="ListBullet2"/>
            </w:pPr>
            <w:r w:rsidRPr="00B12C29">
              <w:t>consultation with key stakeholders</w:t>
            </w:r>
          </w:p>
          <w:p w:rsidR="00000000" w:rsidRPr="00B12C29" w:rsidP="00B12C29">
            <w:pPr>
              <w:pStyle w:val="ListBullet2"/>
            </w:pPr>
            <w:r w:rsidRPr="00B12C29">
              <w:t>organising logistics</w:t>
            </w:r>
          </w:p>
          <w:p w:rsidR="00000000" w:rsidRPr="00B12C29" w:rsidP="00B12C29">
            <w:pPr>
              <w:pStyle w:val="ListBullet2"/>
            </w:pPr>
            <w:r w:rsidRPr="00B12C29">
              <w:t>reporting compliance</w:t>
            </w:r>
          </w:p>
          <w:p w:rsidR="00000000" w:rsidRPr="00B12C29" w:rsidP="00B12C29">
            <w:pPr>
              <w:pStyle w:val="ListBullet2"/>
            </w:pPr>
            <w:r w:rsidRPr="00B12C29">
              <w:t>claim procedures on recalled products</w:t>
            </w:r>
          </w:p>
          <w:p w:rsidR="00000000" w:rsidRPr="00B12C29" w:rsidP="00B12C29">
            <w:pPr>
              <w:pStyle w:val="ListBullet2"/>
            </w:pPr>
            <w:r w:rsidRPr="00B12C29">
              <w:t>legal requirements</w:t>
            </w:r>
          </w:p>
          <w:p w:rsidR="00000000" w:rsidRPr="00B12C29" w:rsidP="00B12C29">
            <w:pPr>
              <w:pStyle w:val="ListBullet2"/>
            </w:pPr>
            <w:r w:rsidRPr="00B12C29">
              <w:t>approvals obtained</w:t>
            </w:r>
          </w:p>
          <w:p w:rsidR="00000000" w:rsidRPr="00B12C29" w:rsidP="00B12C29">
            <w:pPr>
              <w:pStyle w:val="ListBullet2"/>
            </w:pPr>
            <w:r w:rsidRPr="00B12C29">
              <w:t xml:space="preserve">impact on business relationships and contractual arrangements. </w:t>
            </w:r>
          </w:p>
        </w:tc>
      </w:tr>
    </w:tbl>
    <w:p w:rsidR="00000000" w:rsidRPr="00B12C29" w:rsidP="00B12C29">
      <w:pPr>
        <w:pStyle w:val="BodyText"/>
      </w:pPr>
    </w:p>
    <w:p w:rsidR="00000000" w:rsidRPr="00B12C29" w:rsidP="00B12C29">
      <w:pPr>
        <w:pStyle w:val="AllowPageBreak"/>
      </w:pPr>
    </w:p>
    <w:p w:rsidR="00000000" w:rsidRPr="00B12C29" w:rsidP="00B12C29">
      <w:pPr>
        <w:pStyle w:val="Heading1"/>
      </w:pPr>
      <w:bookmarkStart w:id="12" w:name="O_394892"/>
      <w:bookmarkEnd w:id="12"/>
      <w:r w:rsidRPr="00B12C29">
        <w:t>Unit Sector(s)</w:t>
      </w:r>
    </w:p>
    <w:p w:rsidR="00000000" w:rsidRPr="00B12C29" w:rsidP="00B12C29">
      <w:pPr>
        <w:pStyle w:val="BodyText"/>
      </w:pPr>
      <w:r w:rsidRPr="00B12C29">
        <w:t>Cross-Sector</w:t>
      </w:r>
    </w:p>
    <w:p w:rsidR="00000000" w:rsidRPr="00B12C29" w:rsidP="00B12C29">
      <w:pPr>
        <w:pStyle w:val="AllowPageBreak"/>
      </w:pPr>
    </w:p>
    <w:p w:rsidR="00000000" w:rsidRPr="00B12C29" w:rsidP="00B12C29">
      <w:pPr>
        <w:pStyle w:val="Heading1"/>
      </w:pPr>
      <w:bookmarkStart w:id="13" w:name="O_394904"/>
      <w:bookmarkEnd w:id="13"/>
      <w:r w:rsidRPr="00B12C29">
        <w:t>Competency field</w:t>
      </w:r>
    </w:p>
    <w:p w:rsidR="00000000" w:rsidRPr="00B12C29" w:rsidP="00B12C29">
      <w:pPr>
        <w:pStyle w:val="BodyText"/>
      </w:pPr>
      <w:r w:rsidRPr="00B12C29">
        <w:t>Product Management</w:t>
      </w:r>
    </w:p>
    <w:p w:rsidR="00000000" w:rsidRPr="00B12C29" w:rsidP="00B12C29"/>
    <w:sectPr w:rsidSect="00B12C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81A" w:rsidP="009E18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1A" w:rsidP="00B12C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181A" w:rsidP="00B12C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E181A" w:rsidP="00B12C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29" w:rsidRPr="009E181A" w:rsidP="009E18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1A" w:rsidP="00B12C29">
    <w:pPr>
      <w:pStyle w:val="Header"/>
      <w:framePr w:wrap="around"/>
    </w:pPr>
    <w:r>
      <w:fldChar w:fldCharType="begin"/>
    </w:r>
    <w:r>
      <w:instrText xml:space="preserve"> TITLE   \* MERGEFORMAT </w:instrText>
    </w:r>
    <w:r>
      <w:fldChar w:fldCharType="separate"/>
    </w:r>
    <w:r>
      <w:t>SIRXPRO002A Implement product recalls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E181A" w:rsidP="00B12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6D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04D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EAE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C29"/>
    <w:pPr>
      <w:spacing w:before="360" w:after="60"/>
      <w:outlineLvl w:val="0"/>
    </w:pPr>
    <w:rPr>
      <w:sz w:val="32"/>
    </w:rPr>
  </w:style>
  <w:style w:type="paragraph" w:styleId="Heading2">
    <w:name w:val="heading 2"/>
    <w:basedOn w:val="HeadingBase"/>
    <w:next w:val="BodyText"/>
    <w:link w:val="Heading2Char"/>
    <w:qFormat/>
    <w:rsid w:val="00B12C29"/>
    <w:pPr>
      <w:keepLines/>
      <w:spacing w:before="240" w:after="120"/>
      <w:outlineLvl w:val="1"/>
    </w:pPr>
    <w:rPr>
      <w:sz w:val="28"/>
      <w:szCs w:val="40"/>
    </w:rPr>
  </w:style>
  <w:style w:type="paragraph" w:styleId="Heading3">
    <w:name w:val="heading 3"/>
    <w:basedOn w:val="HeadingBase"/>
    <w:next w:val="BodyText"/>
    <w:link w:val="Heading3Char"/>
    <w:qFormat/>
    <w:rsid w:val="00B12C29"/>
    <w:pPr>
      <w:spacing w:before="180" w:after="120"/>
      <w:outlineLvl w:val="2"/>
    </w:pPr>
    <w:rPr>
      <w:spacing w:val="-10"/>
      <w:kern w:val="32"/>
    </w:rPr>
  </w:style>
  <w:style w:type="paragraph" w:styleId="Heading4">
    <w:name w:val="heading 4"/>
    <w:basedOn w:val="HeadingBase"/>
    <w:next w:val="BodyText"/>
    <w:link w:val="Heading4Char"/>
    <w:qFormat/>
    <w:rsid w:val="00B12C29"/>
    <w:pPr>
      <w:spacing w:before="160" w:after="120"/>
      <w:outlineLvl w:val="3"/>
    </w:pPr>
    <w:rPr>
      <w:sz w:val="22"/>
    </w:rPr>
  </w:style>
  <w:style w:type="paragraph" w:styleId="Heading5">
    <w:name w:val="heading 5"/>
    <w:basedOn w:val="HeadingBase"/>
    <w:next w:val="Normal"/>
    <w:link w:val="Heading5Char"/>
    <w:qFormat/>
    <w:rsid w:val="00B12C29"/>
    <w:pPr>
      <w:spacing w:before="80"/>
      <w:outlineLvl w:val="4"/>
    </w:pPr>
    <w:rPr>
      <w:color w:val="918585"/>
      <w:sz w:val="20"/>
    </w:rPr>
  </w:style>
  <w:style w:type="paragraph" w:styleId="Heading6">
    <w:name w:val="heading 6"/>
    <w:basedOn w:val="HeadingBase"/>
    <w:next w:val="Normal"/>
    <w:link w:val="Heading6Char"/>
    <w:qFormat/>
    <w:rsid w:val="00B12C29"/>
    <w:pPr>
      <w:spacing w:before="60"/>
      <w:outlineLvl w:val="5"/>
    </w:pPr>
    <w:rPr>
      <w:color w:val="918585"/>
      <w:sz w:val="20"/>
    </w:rPr>
  </w:style>
  <w:style w:type="paragraph" w:styleId="Heading7">
    <w:name w:val="heading 7"/>
    <w:basedOn w:val="Normal"/>
    <w:next w:val="Normal"/>
    <w:link w:val="Heading7Char"/>
    <w:qFormat/>
    <w:rsid w:val="00B12C29"/>
    <w:pPr>
      <w:ind w:left="720"/>
      <w:outlineLvl w:val="6"/>
    </w:pPr>
    <w:rPr>
      <w:i/>
    </w:rPr>
  </w:style>
  <w:style w:type="paragraph" w:styleId="Heading8">
    <w:name w:val="heading 8"/>
    <w:basedOn w:val="Normal"/>
    <w:next w:val="Normal"/>
    <w:link w:val="Heading8Char"/>
    <w:qFormat/>
    <w:rsid w:val="00B12C29"/>
    <w:pPr>
      <w:ind w:left="720"/>
      <w:outlineLvl w:val="7"/>
    </w:pPr>
    <w:rPr>
      <w:i/>
    </w:rPr>
  </w:style>
  <w:style w:type="paragraph" w:styleId="Heading9">
    <w:name w:val="heading 9"/>
    <w:basedOn w:val="Normal"/>
    <w:next w:val="Normal"/>
    <w:link w:val="Heading9Char"/>
    <w:qFormat/>
    <w:rsid w:val="00B12C29"/>
    <w:pPr>
      <w:ind w:left="720"/>
      <w:outlineLvl w:val="8"/>
    </w:pPr>
    <w:rPr>
      <w:i/>
    </w:rPr>
  </w:style>
  <w:style w:type="character" w:default="1" w:styleId="DefaultParagraphFont">
    <w:name w:val="Default Paragraph Font"/>
    <w:uiPriority w:val="1"/>
    <w:unhideWhenUsed/>
    <w:rsid w:val="00B12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C29"/>
  </w:style>
  <w:style w:type="character" w:customStyle="1" w:styleId="Heading1Char">
    <w:name w:val="Heading 1 Char"/>
    <w:basedOn w:val="DefaultParagraphFont"/>
    <w:link w:val="Heading1"/>
    <w:rsid w:val="00B12C29"/>
    <w:rPr>
      <w:rFonts w:ascii="Times New Roman" w:eastAsia="Times New Roman" w:hAnsi="Times New Roman" w:cs="Times New Roman"/>
      <w:b/>
      <w:sz w:val="32"/>
      <w:szCs w:val="20"/>
      <w:lang w:eastAsia="en-US"/>
    </w:rPr>
  </w:style>
  <w:style w:type="paragraph" w:styleId="BodyText">
    <w:name w:val="Body Text"/>
    <w:basedOn w:val="Normal"/>
    <w:link w:val="BodyTextChar"/>
    <w:rsid w:val="00B12C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C29"/>
    <w:rPr>
      <w:rFonts w:ascii="Times New Roman" w:eastAsia="Times New Roman" w:hAnsi="Times New Roman" w:cs="Times New Roman"/>
      <w:sz w:val="24"/>
      <w:lang w:eastAsia="en-US"/>
    </w:rPr>
  </w:style>
  <w:style w:type="paragraph" w:styleId="Footer">
    <w:name w:val="footer"/>
    <w:basedOn w:val="Normal"/>
    <w:link w:val="FooterChar"/>
    <w:rsid w:val="00B12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C29"/>
    <w:rPr>
      <w:rFonts w:ascii="Times New Roman" w:eastAsia="Times New Roman" w:hAnsi="Times New Roman" w:cs="Times New Roman"/>
      <w:sz w:val="16"/>
      <w:lang w:eastAsia="en-US"/>
    </w:rPr>
  </w:style>
  <w:style w:type="paragraph" w:styleId="List">
    <w:name w:val="List"/>
    <w:basedOn w:val="BodyText"/>
    <w:next w:val="BodyText"/>
    <w:rsid w:val="00B12C29"/>
    <w:pPr>
      <w:tabs>
        <w:tab w:val="left" w:pos="340"/>
      </w:tabs>
      <w:spacing w:before="60" w:after="60"/>
      <w:ind w:left="340" w:hanging="340"/>
    </w:pPr>
  </w:style>
  <w:style w:type="paragraph" w:styleId="ListBullet">
    <w:name w:val="List Bullet"/>
    <w:basedOn w:val="List"/>
    <w:rsid w:val="00B12C29"/>
    <w:pPr>
      <w:numPr>
        <w:numId w:val="14"/>
      </w:numPr>
      <w:tabs>
        <w:tab w:val="clear" w:pos="340"/>
      </w:tabs>
      <w:spacing w:before="40" w:after="40"/>
    </w:pPr>
  </w:style>
  <w:style w:type="character" w:customStyle="1" w:styleId="SpecialBold">
    <w:name w:val="Special Bold"/>
    <w:basedOn w:val="DefaultParagraphFont"/>
    <w:rsid w:val="00B12C29"/>
    <w:rPr>
      <w:b/>
      <w:spacing w:val="0"/>
    </w:rPr>
  </w:style>
  <w:style w:type="paragraph" w:styleId="ListBullet2">
    <w:name w:val="List Bullet 2"/>
    <w:basedOn w:val="List2"/>
    <w:rsid w:val="00B12C29"/>
    <w:pPr>
      <w:numPr>
        <w:numId w:val="15"/>
      </w:numPr>
      <w:tabs>
        <w:tab w:val="clear" w:pos="680"/>
      </w:tabs>
    </w:pPr>
  </w:style>
  <w:style w:type="paragraph" w:customStyle="1" w:styleId="SuperHeading">
    <w:name w:val="SuperHeading"/>
    <w:basedOn w:val="Normal"/>
    <w:rsid w:val="00B12C29"/>
    <w:pPr>
      <w:spacing w:before="240" w:after="120"/>
      <w:outlineLvl w:val="0"/>
    </w:pPr>
    <w:rPr>
      <w:rFonts w:ascii="Times New Roman" w:hAnsi="Times New Roman"/>
      <w:b/>
      <w:sz w:val="28"/>
    </w:rPr>
  </w:style>
  <w:style w:type="paragraph" w:customStyle="1" w:styleId="AllowPageBreak">
    <w:name w:val="AllowPageBreak"/>
    <w:rsid w:val="00B12C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2C29"/>
    <w:pPr>
      <w:numPr>
        <w:numId w:val="3"/>
      </w:numPr>
      <w:tabs>
        <w:tab w:val="clear" w:pos="1021"/>
      </w:tabs>
      <w:ind w:left="1037" w:hanging="357"/>
    </w:pPr>
  </w:style>
  <w:style w:type="character" w:customStyle="1" w:styleId="BoldandItalics">
    <w:name w:val="Bold and Italics"/>
    <w:qFormat/>
    <w:rsid w:val="00B12C29"/>
    <w:rPr>
      <w:b/>
      <w:i/>
      <w:u w:val="none"/>
    </w:rPr>
  </w:style>
  <w:style w:type="character" w:customStyle="1" w:styleId="Heading2Char">
    <w:name w:val="Heading 2 Char"/>
    <w:basedOn w:val="DefaultParagraphFont"/>
    <w:link w:val="Heading2"/>
    <w:rsid w:val="00B12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C29"/>
    <w:rPr>
      <w:rFonts w:ascii="Courier New" w:eastAsia="Times New Roman" w:hAnsi="Courier New" w:cs="Times New Roman"/>
      <w:i/>
      <w:szCs w:val="20"/>
      <w:lang w:eastAsia="en-US"/>
    </w:rPr>
  </w:style>
  <w:style w:type="paragraph" w:customStyle="1" w:styleId="HeadingBase">
    <w:name w:val="Heading Base"/>
    <w:rsid w:val="00B12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C29"/>
    <w:pPr>
      <w:tabs>
        <w:tab w:val="right" w:leader="dot" w:pos="9072"/>
      </w:tabs>
      <w:ind w:left="567"/>
    </w:pPr>
    <w:rPr>
      <w:szCs w:val="22"/>
    </w:rPr>
  </w:style>
  <w:style w:type="paragraph" w:customStyle="1" w:styleId="TOCBase">
    <w:name w:val="TOC Base"/>
    <w:rsid w:val="00B12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C29"/>
    <w:pPr>
      <w:tabs>
        <w:tab w:val="right" w:leader="dot" w:pos="9072"/>
      </w:tabs>
      <w:spacing w:before="40" w:after="40"/>
      <w:ind w:left="284"/>
    </w:pPr>
    <w:rPr>
      <w:rFonts w:ascii="Times New Roman" w:hAnsi="Times New Roman"/>
    </w:rPr>
  </w:style>
  <w:style w:type="paragraph" w:styleId="TOC1">
    <w:name w:val="toc 1"/>
    <w:basedOn w:val="TOCBase"/>
    <w:next w:val="Normal"/>
    <w:rsid w:val="00B12C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C29"/>
    <w:pPr>
      <w:spacing w:before="5040"/>
      <w:jc w:val="center"/>
    </w:pPr>
    <w:rPr>
      <w:sz w:val="48"/>
      <w:szCs w:val="72"/>
      <w:lang w:val="en-US"/>
    </w:rPr>
  </w:style>
  <w:style w:type="character" w:customStyle="1" w:styleId="TitleChar">
    <w:name w:val="Title Char"/>
    <w:basedOn w:val="DefaultParagraphFont"/>
    <w:link w:val="Title"/>
    <w:rsid w:val="00B12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C29"/>
    <w:pPr>
      <w:tabs>
        <w:tab w:val="left" w:pos="3600"/>
        <w:tab w:val="left" w:pos="3958"/>
      </w:tabs>
    </w:pPr>
  </w:style>
  <w:style w:type="paragraph" w:customStyle="1" w:styleId="Note">
    <w:name w:val="Note"/>
    <w:basedOn w:val="BodyText"/>
    <w:rsid w:val="00B12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C29"/>
    <w:pPr>
      <w:framePr w:wrap="auto" w:hAnchor="text" w:y="6049"/>
    </w:pPr>
    <w:rPr>
      <w:color w:val="000000"/>
      <w:sz w:val="40"/>
    </w:rPr>
  </w:style>
  <w:style w:type="paragraph" w:customStyle="1" w:styleId="TOCTitle">
    <w:name w:val="TOCTitle"/>
    <w:basedOn w:val="Heading1"/>
    <w:rsid w:val="00B12C29"/>
    <w:pPr>
      <w:spacing w:after="240"/>
      <w:jc w:val="center"/>
      <w:outlineLvl w:val="9"/>
    </w:pPr>
    <w:rPr>
      <w:caps/>
    </w:rPr>
  </w:style>
  <w:style w:type="paragraph" w:customStyle="1" w:styleId="Version">
    <w:name w:val="Version"/>
    <w:rsid w:val="00B12C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C29"/>
    <w:pPr>
      <w:keepNext w:val="0"/>
      <w:tabs>
        <w:tab w:val="right" w:pos="4176"/>
      </w:tabs>
      <w:ind w:left="198" w:hanging="198"/>
    </w:pPr>
    <w:rPr>
      <w:rFonts w:ascii="Garamond" w:hAnsi="Garamond"/>
    </w:rPr>
  </w:style>
  <w:style w:type="paragraph" w:styleId="IndexHeading">
    <w:name w:val="index heading"/>
    <w:basedOn w:val="Normal"/>
    <w:next w:val="Index1"/>
    <w:semiHidden/>
    <w:rsid w:val="00B12C29"/>
    <w:pPr>
      <w:spacing w:before="120" w:after="120"/>
    </w:pPr>
    <w:rPr>
      <w:rFonts w:ascii="Arial" w:hAnsi="Arial"/>
      <w:b/>
      <w:color w:val="918585"/>
      <w:sz w:val="24"/>
    </w:rPr>
  </w:style>
  <w:style w:type="paragraph" w:styleId="Header">
    <w:name w:val="header"/>
    <w:basedOn w:val="Normal"/>
    <w:link w:val="HeaderChar"/>
    <w:rsid w:val="00B12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C29"/>
    <w:rPr>
      <w:rFonts w:ascii="Times New Roman" w:eastAsia="Times New Roman" w:hAnsi="Times New Roman" w:cs="Times New Roman"/>
      <w:sz w:val="16"/>
      <w:szCs w:val="20"/>
      <w:lang w:val="en-GB" w:eastAsia="en-US"/>
    </w:rPr>
  </w:style>
  <w:style w:type="paragraph" w:customStyle="1" w:styleId="Chapter">
    <w:name w:val="Chapter"/>
    <w:basedOn w:val="Normal"/>
    <w:rsid w:val="00B12C29"/>
    <w:pPr>
      <w:spacing w:before="240"/>
    </w:pPr>
    <w:rPr>
      <w:rFonts w:ascii="Times New Roman" w:hAnsi="Times New Roman"/>
      <w:smallCaps/>
      <w:spacing w:val="80"/>
      <w:sz w:val="28"/>
    </w:rPr>
  </w:style>
  <w:style w:type="paragraph" w:customStyle="1" w:styleId="InChapter">
    <w:name w:val="InChapter"/>
    <w:basedOn w:val="Heading3"/>
    <w:rsid w:val="00B12C29"/>
    <w:pPr>
      <w:spacing w:after="240"/>
      <w:outlineLvl w:val="9"/>
    </w:pPr>
    <w:rPr>
      <w:noProof/>
    </w:rPr>
  </w:style>
  <w:style w:type="paragraph" w:styleId="Index2">
    <w:name w:val="index 2"/>
    <w:basedOn w:val="Normal"/>
    <w:next w:val="Normal"/>
    <w:semiHidden/>
    <w:rsid w:val="00B12C29"/>
    <w:pPr>
      <w:tabs>
        <w:tab w:val="right" w:pos="4176"/>
      </w:tabs>
      <w:ind w:left="568" w:hanging="284"/>
    </w:pPr>
    <w:rPr>
      <w:rFonts w:ascii="Garamond" w:hAnsi="Garamond"/>
    </w:rPr>
  </w:style>
  <w:style w:type="paragraph" w:customStyle="1" w:styleId="Byline">
    <w:name w:val="Byline"/>
    <w:rsid w:val="00B12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C29"/>
    <w:pPr>
      <w:tabs>
        <w:tab w:val="clear" w:pos="3600"/>
        <w:tab w:val="clear" w:pos="3958"/>
      </w:tabs>
      <w:jc w:val="right"/>
    </w:pPr>
  </w:style>
  <w:style w:type="character" w:styleId="Emphasis">
    <w:name w:val="Emphasis"/>
    <w:basedOn w:val="DefaultParagraphFont"/>
    <w:qFormat/>
    <w:rsid w:val="00B12C29"/>
    <w:rPr>
      <w:i/>
    </w:rPr>
  </w:style>
  <w:style w:type="paragraph" w:styleId="Caption">
    <w:name w:val="caption"/>
    <w:basedOn w:val="BodyText"/>
    <w:next w:val="Normal"/>
    <w:qFormat/>
    <w:rsid w:val="00B12C29"/>
    <w:pPr>
      <w:framePr w:w="2268" w:hSpace="181" w:vSpace="181" w:wrap="around" w:vAnchor="text" w:hAnchor="page" w:x="1135" w:y="285" w:anchorLock="1"/>
    </w:pPr>
    <w:rPr>
      <w:i/>
    </w:rPr>
  </w:style>
  <w:style w:type="paragraph" w:customStyle="1" w:styleId="MiniTOCTitle">
    <w:name w:val="MiniTOCTitle"/>
    <w:basedOn w:val="Heading4"/>
    <w:rsid w:val="00B12C29"/>
    <w:pPr>
      <w:spacing w:before="240"/>
      <w:outlineLvl w:val="9"/>
    </w:pPr>
    <w:rPr>
      <w:noProof/>
      <w:sz w:val="24"/>
    </w:rPr>
  </w:style>
  <w:style w:type="paragraph" w:customStyle="1" w:styleId="MiniTOCItem">
    <w:name w:val="MiniTOCItem"/>
    <w:basedOn w:val="ListBullet"/>
    <w:rsid w:val="00B12C29"/>
    <w:pPr>
      <w:numPr>
        <w:numId w:val="0"/>
      </w:numPr>
      <w:tabs>
        <w:tab w:val="right" w:leader="dot" w:pos="6521"/>
      </w:tabs>
      <w:spacing w:before="0" w:after="0"/>
    </w:pPr>
  </w:style>
  <w:style w:type="paragraph" w:customStyle="1" w:styleId="TOFTitle">
    <w:name w:val="TOFTitle"/>
    <w:basedOn w:val="TOCTitle"/>
    <w:rsid w:val="00B12C29"/>
  </w:style>
  <w:style w:type="paragraph" w:styleId="TableofFigures">
    <w:name w:val="table of figures"/>
    <w:basedOn w:val="Normal"/>
    <w:next w:val="Normal"/>
    <w:semiHidden/>
    <w:rsid w:val="00B12C29"/>
    <w:pPr>
      <w:tabs>
        <w:tab w:val="right" w:leader="dot" w:pos="9072"/>
      </w:tabs>
      <w:ind w:left="970" w:hanging="403"/>
    </w:pPr>
    <w:rPr>
      <w:rFonts w:ascii="Times New Roman" w:hAnsi="Times New Roman"/>
      <w:b/>
    </w:rPr>
  </w:style>
  <w:style w:type="paragraph" w:styleId="ListNumber">
    <w:name w:val="List Number"/>
    <w:basedOn w:val="List"/>
    <w:rsid w:val="00B12C29"/>
    <w:pPr>
      <w:numPr>
        <w:numId w:val="12"/>
      </w:numPr>
    </w:pPr>
  </w:style>
  <w:style w:type="character" w:customStyle="1" w:styleId="WingdingSymbols">
    <w:name w:val="Wingding Symbols"/>
    <w:rsid w:val="00B12C29"/>
    <w:rPr>
      <w:rFonts w:ascii="Wingdings" w:hAnsi="Wingdings"/>
    </w:rPr>
  </w:style>
  <w:style w:type="paragraph" w:customStyle="1" w:styleId="TableHeading">
    <w:name w:val="Table Heading"/>
    <w:basedOn w:val="HeadingBase"/>
    <w:rsid w:val="00B12C29"/>
    <w:pPr>
      <w:keepLines/>
      <w:pBdr>
        <w:bottom w:val="single" w:sz="6" w:space="1" w:color="918585"/>
      </w:pBdr>
      <w:spacing w:before="240"/>
    </w:pPr>
  </w:style>
  <w:style w:type="character" w:customStyle="1" w:styleId="HotSpot">
    <w:name w:val="HotSpot"/>
    <w:rsid w:val="00B12C29"/>
    <w:rPr>
      <w:color w:val="0033CC"/>
      <w:u w:val="none"/>
    </w:rPr>
  </w:style>
  <w:style w:type="paragraph" w:customStyle="1" w:styleId="BodyTextRight">
    <w:name w:val="Body Text Right"/>
    <w:basedOn w:val="BodyText"/>
    <w:rsid w:val="00B12C29"/>
    <w:pPr>
      <w:spacing w:before="0" w:after="0"/>
      <w:jc w:val="right"/>
    </w:pPr>
  </w:style>
  <w:style w:type="paragraph" w:styleId="Index3">
    <w:name w:val="index 3"/>
    <w:basedOn w:val="ListNumber2"/>
    <w:next w:val="Normal"/>
    <w:semiHidden/>
    <w:rsid w:val="00B12C29"/>
    <w:pPr>
      <w:numPr>
        <w:numId w:val="0"/>
      </w:numPr>
      <w:tabs>
        <w:tab w:val="right" w:leader="dot" w:pos="4176"/>
      </w:tabs>
    </w:pPr>
  </w:style>
  <w:style w:type="paragraph" w:styleId="ListNumber2">
    <w:name w:val="List Number 2"/>
    <w:basedOn w:val="List2"/>
    <w:rsid w:val="00B12C29"/>
    <w:pPr>
      <w:numPr>
        <w:numId w:val="11"/>
      </w:numPr>
      <w:tabs>
        <w:tab w:val="clear" w:pos="1060"/>
      </w:tabs>
    </w:pPr>
  </w:style>
  <w:style w:type="paragraph" w:customStyle="1" w:styleId="MarginNote">
    <w:name w:val="Margin Note"/>
    <w:basedOn w:val="BodyText"/>
    <w:rsid w:val="00B12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C29"/>
    <w:rPr>
      <w:sz w:val="32"/>
    </w:rPr>
  </w:style>
  <w:style w:type="paragraph" w:customStyle="1" w:styleId="HeadingProcedure">
    <w:name w:val="Heading Procedure"/>
    <w:basedOn w:val="HeadingBase"/>
    <w:next w:val="Normal"/>
    <w:rsid w:val="00B12C29"/>
    <w:pPr>
      <w:tabs>
        <w:tab w:val="left" w:pos="0"/>
      </w:tabs>
      <w:spacing w:before="120" w:after="60"/>
    </w:pPr>
    <w:rPr>
      <w:i/>
      <w:color w:val="918585"/>
      <w:sz w:val="22"/>
    </w:rPr>
  </w:style>
  <w:style w:type="paragraph" w:customStyle="1" w:styleId="TableBodyText">
    <w:name w:val="Table Body Text"/>
    <w:basedOn w:val="BodyText"/>
    <w:rsid w:val="00B12C29"/>
    <w:pPr>
      <w:spacing w:before="60" w:after="60"/>
    </w:pPr>
  </w:style>
  <w:style w:type="paragraph" w:styleId="ListContinue">
    <w:name w:val="List Continue"/>
    <w:basedOn w:val="List"/>
    <w:rsid w:val="00B12C29"/>
    <w:pPr>
      <w:ind w:firstLine="0"/>
    </w:pPr>
  </w:style>
  <w:style w:type="paragraph" w:customStyle="1" w:styleId="ListNote">
    <w:name w:val="List Note"/>
    <w:basedOn w:val="List"/>
    <w:rsid w:val="00B12C29"/>
    <w:pPr>
      <w:pBdr>
        <w:top w:val="single" w:sz="6" w:space="2" w:color="918585"/>
        <w:bottom w:val="single" w:sz="6" w:space="2" w:color="918585"/>
      </w:pBdr>
      <w:tabs>
        <w:tab w:val="left" w:pos="1021"/>
      </w:tabs>
      <w:ind w:firstLine="0"/>
    </w:pPr>
  </w:style>
  <w:style w:type="paragraph" w:customStyle="1" w:styleId="Warning">
    <w:name w:val="Warning"/>
    <w:basedOn w:val="BodyText"/>
    <w:rsid w:val="00B12C29"/>
    <w:pPr>
      <w:shd w:val="clear" w:color="auto" w:fill="D9D9D9"/>
      <w:tabs>
        <w:tab w:val="left" w:pos="992"/>
      </w:tabs>
      <w:ind w:left="119" w:right="119"/>
    </w:pPr>
    <w:rPr>
      <w:sz w:val="20"/>
    </w:rPr>
  </w:style>
  <w:style w:type="paragraph" w:customStyle="1" w:styleId="MarginIcons">
    <w:name w:val="Margin Icons"/>
    <w:basedOn w:val="BodyText"/>
    <w:rsid w:val="00B12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C29"/>
    <w:rPr>
      <w:rFonts w:ascii="Courier New" w:hAnsi="Courier New"/>
    </w:rPr>
  </w:style>
  <w:style w:type="paragraph" w:customStyle="1" w:styleId="NoteBullet">
    <w:name w:val="Note Bullet"/>
    <w:basedOn w:val="Note"/>
    <w:rsid w:val="00B12C29"/>
    <w:pPr>
      <w:tabs>
        <w:tab w:val="clear" w:pos="680"/>
      </w:tabs>
      <w:spacing w:before="60" w:after="60"/>
    </w:pPr>
  </w:style>
  <w:style w:type="paragraph" w:customStyle="1" w:styleId="SubHeading2">
    <w:name w:val="SubHeading2"/>
    <w:basedOn w:val="HeadingBase"/>
    <w:rsid w:val="00B12C29"/>
    <w:pPr>
      <w:spacing w:before="240" w:after="60"/>
    </w:pPr>
    <w:rPr>
      <w:sz w:val="20"/>
    </w:rPr>
  </w:style>
  <w:style w:type="paragraph" w:customStyle="1" w:styleId="SubHeading1">
    <w:name w:val="SubHeading1"/>
    <w:basedOn w:val="HeadingBase"/>
    <w:rsid w:val="00B12C29"/>
    <w:pPr>
      <w:spacing w:before="240" w:after="60"/>
    </w:pPr>
    <w:rPr>
      <w:color w:val="918585"/>
      <w:sz w:val="22"/>
    </w:rPr>
  </w:style>
  <w:style w:type="paragraph" w:customStyle="1" w:styleId="SideHeading">
    <w:name w:val="Side Heading"/>
    <w:basedOn w:val="HeadingBase"/>
    <w:rsid w:val="00B12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C29"/>
    <w:pPr>
      <w:numPr>
        <w:numId w:val="13"/>
      </w:numPr>
    </w:pPr>
  </w:style>
  <w:style w:type="paragraph" w:styleId="PlainText">
    <w:name w:val="Plain Text"/>
    <w:basedOn w:val="Normal"/>
    <w:link w:val="PlainTextChar"/>
    <w:rsid w:val="00B12C29"/>
    <w:rPr>
      <w:sz w:val="20"/>
    </w:rPr>
  </w:style>
  <w:style w:type="character" w:customStyle="1" w:styleId="PlainTextChar">
    <w:name w:val="Plain Text Char"/>
    <w:basedOn w:val="DefaultParagraphFont"/>
    <w:link w:val="PlainText"/>
    <w:rsid w:val="00B12C29"/>
    <w:rPr>
      <w:rFonts w:ascii="Courier New" w:eastAsia="Times New Roman" w:hAnsi="Courier New" w:cs="Times New Roman"/>
      <w:sz w:val="20"/>
      <w:szCs w:val="20"/>
      <w:lang w:eastAsia="en-US"/>
    </w:rPr>
  </w:style>
  <w:style w:type="character" w:customStyle="1" w:styleId="MenuOption">
    <w:name w:val="Menu Option"/>
    <w:basedOn w:val="DefaultParagraphFont"/>
    <w:rsid w:val="00B12C29"/>
    <w:rPr>
      <w:b/>
      <w:smallCaps/>
    </w:rPr>
  </w:style>
  <w:style w:type="paragraph" w:customStyle="1" w:styleId="TableListNumber">
    <w:name w:val="Table List Number"/>
    <w:basedOn w:val="ListNumber"/>
    <w:rsid w:val="00B12C29"/>
    <w:pPr>
      <w:numPr>
        <w:numId w:val="0"/>
      </w:numPr>
    </w:pPr>
  </w:style>
  <w:style w:type="paragraph" w:styleId="TOC4">
    <w:name w:val="toc 4"/>
    <w:basedOn w:val="TOCBase"/>
    <w:next w:val="Normal"/>
    <w:semiHidden/>
    <w:rsid w:val="00B12C29"/>
    <w:pPr>
      <w:tabs>
        <w:tab w:val="right" w:leader="dot" w:pos="9071"/>
      </w:tabs>
      <w:ind w:left="1701"/>
    </w:pPr>
  </w:style>
  <w:style w:type="paragraph" w:customStyle="1" w:styleId="ListAlpha">
    <w:name w:val="List Alpha"/>
    <w:basedOn w:val="List"/>
    <w:rsid w:val="00B12C29"/>
    <w:pPr>
      <w:numPr>
        <w:numId w:val="10"/>
      </w:numPr>
    </w:pPr>
  </w:style>
  <w:style w:type="paragraph" w:customStyle="1" w:styleId="ListAlpha2">
    <w:name w:val="List Alpha 2"/>
    <w:basedOn w:val="List2"/>
    <w:rsid w:val="00B12C29"/>
    <w:pPr>
      <w:numPr>
        <w:numId w:val="9"/>
      </w:numPr>
    </w:pPr>
  </w:style>
  <w:style w:type="paragraph" w:styleId="List2">
    <w:name w:val="List 2"/>
    <w:basedOn w:val="BodyText"/>
    <w:rsid w:val="00B12C29"/>
    <w:pPr>
      <w:tabs>
        <w:tab w:val="left" w:pos="680"/>
      </w:tabs>
      <w:spacing w:before="60" w:after="60"/>
      <w:ind w:left="680" w:hanging="340"/>
    </w:pPr>
  </w:style>
  <w:style w:type="paragraph" w:styleId="List3">
    <w:name w:val="List 3"/>
    <w:basedOn w:val="BodyText"/>
    <w:rsid w:val="00B12C29"/>
    <w:pPr>
      <w:tabs>
        <w:tab w:val="left" w:pos="1021"/>
      </w:tabs>
      <w:spacing w:before="60" w:after="60"/>
      <w:ind w:left="1020" w:hanging="340"/>
    </w:pPr>
  </w:style>
  <w:style w:type="paragraph" w:styleId="List4">
    <w:name w:val="List 4"/>
    <w:basedOn w:val="BodyText"/>
    <w:rsid w:val="00B12C29"/>
    <w:pPr>
      <w:tabs>
        <w:tab w:val="left" w:pos="1361"/>
      </w:tabs>
      <w:spacing w:before="60" w:after="60"/>
      <w:ind w:left="1361" w:hanging="340"/>
    </w:pPr>
  </w:style>
  <w:style w:type="paragraph" w:styleId="List5">
    <w:name w:val="List 5"/>
    <w:basedOn w:val="BodyText"/>
    <w:rsid w:val="00B12C29"/>
    <w:pPr>
      <w:tabs>
        <w:tab w:val="left" w:pos="1701"/>
      </w:tabs>
      <w:spacing w:before="60" w:after="60"/>
      <w:ind w:left="1701" w:hanging="340"/>
    </w:pPr>
  </w:style>
  <w:style w:type="paragraph" w:styleId="ListBullet4">
    <w:name w:val="List Bullet 4"/>
    <w:basedOn w:val="List4"/>
    <w:rsid w:val="00B12C29"/>
    <w:pPr>
      <w:numPr>
        <w:numId w:val="4"/>
      </w:numPr>
    </w:pPr>
  </w:style>
  <w:style w:type="paragraph" w:styleId="ListBullet5">
    <w:name w:val="List Bullet 5"/>
    <w:basedOn w:val="List5"/>
    <w:rsid w:val="00B12C29"/>
    <w:pPr>
      <w:numPr>
        <w:numId w:val="5"/>
      </w:numPr>
    </w:pPr>
  </w:style>
  <w:style w:type="paragraph" w:styleId="ListContinue2">
    <w:name w:val="List Continue 2"/>
    <w:basedOn w:val="List2"/>
    <w:rsid w:val="00B12C29"/>
    <w:pPr>
      <w:ind w:firstLine="0"/>
    </w:pPr>
  </w:style>
  <w:style w:type="paragraph" w:styleId="ListContinue3">
    <w:name w:val="List Continue 3"/>
    <w:basedOn w:val="List3"/>
    <w:rsid w:val="00B12C29"/>
    <w:pPr>
      <w:ind w:left="1021" w:firstLine="0"/>
    </w:pPr>
  </w:style>
  <w:style w:type="paragraph" w:styleId="ListContinue4">
    <w:name w:val="List Continue 4"/>
    <w:basedOn w:val="List4"/>
    <w:rsid w:val="00B12C29"/>
    <w:pPr>
      <w:ind w:firstLine="0"/>
    </w:pPr>
  </w:style>
  <w:style w:type="paragraph" w:styleId="ListContinue5">
    <w:name w:val="List Continue 5"/>
    <w:basedOn w:val="List5"/>
    <w:rsid w:val="00B12C29"/>
    <w:pPr>
      <w:ind w:firstLine="0"/>
    </w:pPr>
  </w:style>
  <w:style w:type="paragraph" w:styleId="ListNumber3">
    <w:name w:val="List Number 3"/>
    <w:basedOn w:val="List3"/>
    <w:rsid w:val="00B12C29"/>
    <w:pPr>
      <w:numPr>
        <w:numId w:val="6"/>
      </w:numPr>
    </w:pPr>
  </w:style>
  <w:style w:type="paragraph" w:styleId="ListNumber4">
    <w:name w:val="List Number 4"/>
    <w:basedOn w:val="List4"/>
    <w:rsid w:val="00B12C29"/>
    <w:pPr>
      <w:numPr>
        <w:numId w:val="7"/>
      </w:numPr>
    </w:pPr>
  </w:style>
  <w:style w:type="paragraph" w:styleId="ListNumber5">
    <w:name w:val="List Number 5"/>
    <w:basedOn w:val="List5"/>
    <w:rsid w:val="00B12C29"/>
    <w:pPr>
      <w:numPr>
        <w:numId w:val="8"/>
      </w:numPr>
    </w:pPr>
  </w:style>
  <w:style w:type="paragraph" w:styleId="BlockText">
    <w:name w:val="Block Text"/>
    <w:basedOn w:val="Normal"/>
    <w:rsid w:val="00B12C29"/>
    <w:pPr>
      <w:spacing w:after="120"/>
      <w:ind w:left="1440" w:right="1440"/>
    </w:pPr>
  </w:style>
  <w:style w:type="character" w:customStyle="1" w:styleId="Subscript">
    <w:name w:val="Subscript"/>
    <w:basedOn w:val="DefaultParagraphFont"/>
    <w:rsid w:val="00B12C29"/>
    <w:rPr>
      <w:sz w:val="16"/>
      <w:vertAlign w:val="subscript"/>
    </w:rPr>
  </w:style>
  <w:style w:type="character" w:customStyle="1" w:styleId="Superscript">
    <w:name w:val="Superscript"/>
    <w:basedOn w:val="DefaultParagraphFont"/>
    <w:rsid w:val="00B12C29"/>
    <w:rPr>
      <w:sz w:val="16"/>
      <w:vertAlign w:val="superscript"/>
    </w:rPr>
  </w:style>
  <w:style w:type="character" w:customStyle="1" w:styleId="Symbols">
    <w:name w:val="Symbols"/>
    <w:basedOn w:val="DefaultParagraphFont"/>
    <w:rsid w:val="00B12C29"/>
    <w:rPr>
      <w:rFonts w:ascii="Symbol" w:hAnsi="Symbol"/>
    </w:rPr>
  </w:style>
  <w:style w:type="character" w:customStyle="1" w:styleId="MenuOptions">
    <w:name w:val="Menu Options"/>
    <w:basedOn w:val="DefaultParagraphFont"/>
    <w:rsid w:val="00B12C29"/>
    <w:rPr>
      <w:rFonts w:ascii="Arial Narrow" w:hAnsi="Arial Narrow"/>
      <w:smallCaps/>
    </w:rPr>
  </w:style>
  <w:style w:type="character" w:customStyle="1" w:styleId="Buttons">
    <w:name w:val="Buttons"/>
    <w:basedOn w:val="DefaultParagraphFont"/>
    <w:rsid w:val="00B12C29"/>
    <w:rPr>
      <w:b/>
    </w:rPr>
  </w:style>
  <w:style w:type="character" w:customStyle="1" w:styleId="Underlined">
    <w:name w:val="Underlined"/>
    <w:basedOn w:val="DefaultParagraphFont"/>
    <w:rsid w:val="00B12C29"/>
    <w:rPr>
      <w:u w:val="single"/>
    </w:rPr>
  </w:style>
  <w:style w:type="paragraph" w:customStyle="1" w:styleId="TableBodyTextRight">
    <w:name w:val="Table Body Text Right"/>
    <w:basedOn w:val="TableBodyText"/>
    <w:rsid w:val="00B12C29"/>
    <w:pPr>
      <w:widowControl w:val="0"/>
      <w:autoSpaceDE w:val="0"/>
      <w:autoSpaceDN w:val="0"/>
      <w:adjustRightInd w:val="0"/>
      <w:jc w:val="right"/>
    </w:pPr>
    <w:rPr>
      <w:rFonts w:cs="Arial"/>
      <w:szCs w:val="18"/>
    </w:rPr>
  </w:style>
  <w:style w:type="paragraph" w:customStyle="1" w:styleId="CopyrightText">
    <w:name w:val="Copyright Text"/>
    <w:basedOn w:val="BodyText"/>
    <w:rsid w:val="00B12C29"/>
    <w:rPr>
      <w:sz w:val="18"/>
    </w:rPr>
  </w:style>
  <w:style w:type="paragraph" w:customStyle="1" w:styleId="BodySmallRight">
    <w:name w:val="Body Small Right"/>
    <w:basedOn w:val="BodyTextRight"/>
    <w:rsid w:val="00B12C29"/>
    <w:rPr>
      <w:sz w:val="18"/>
      <w:szCs w:val="18"/>
    </w:rPr>
  </w:style>
  <w:style w:type="paragraph" w:customStyle="1" w:styleId="MarginEdition">
    <w:name w:val="Margin Edition"/>
    <w:basedOn w:val="MarginNote"/>
    <w:rsid w:val="00B12C29"/>
    <w:pPr>
      <w:spacing w:before="0" w:after="0"/>
    </w:pPr>
    <w:rPr>
      <w:rFonts w:ascii="Times New Roman" w:hAnsi="Times New Roman"/>
      <w:color w:val="999999"/>
    </w:rPr>
  </w:style>
  <w:style w:type="paragraph" w:customStyle="1" w:styleId="Spacer">
    <w:name w:val="Spacer"/>
    <w:basedOn w:val="Normal"/>
    <w:rsid w:val="00B12C29"/>
    <w:rPr>
      <w:sz w:val="2"/>
      <w:szCs w:val="2"/>
    </w:rPr>
  </w:style>
  <w:style w:type="character" w:customStyle="1" w:styleId="Small">
    <w:name w:val="Small"/>
    <w:basedOn w:val="DefaultParagraphFont"/>
    <w:rsid w:val="00B12C29"/>
    <w:rPr>
      <w:sz w:val="16"/>
    </w:rPr>
  </w:style>
  <w:style w:type="paragraph" w:customStyle="1" w:styleId="WideTable">
    <w:name w:val="Wide Table"/>
    <w:basedOn w:val="Normal"/>
    <w:rsid w:val="00B12C29"/>
    <w:pPr>
      <w:ind w:left="-1418"/>
    </w:pPr>
    <w:rPr>
      <w:sz w:val="2"/>
      <w:szCs w:val="2"/>
    </w:rPr>
  </w:style>
  <w:style w:type="character" w:styleId="PageNumber">
    <w:name w:val="page number"/>
    <w:basedOn w:val="DefaultParagraphFont"/>
    <w:rsid w:val="00B12C29"/>
  </w:style>
  <w:style w:type="paragraph" w:styleId="Quote">
    <w:name w:val="Quote"/>
    <w:basedOn w:val="Heading1"/>
    <w:link w:val="QuoteChar"/>
    <w:qFormat/>
    <w:rsid w:val="00B12C29"/>
    <w:rPr>
      <w:b w:val="0"/>
      <w:sz w:val="72"/>
      <w:szCs w:val="72"/>
      <w:lang w:val="en-NZ"/>
    </w:rPr>
  </w:style>
  <w:style w:type="character" w:customStyle="1" w:styleId="QuoteChar">
    <w:name w:val="Quote Char"/>
    <w:basedOn w:val="DefaultParagraphFont"/>
    <w:link w:val="Quote"/>
    <w:rsid w:val="00B12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C29"/>
    <w:pPr>
      <w:pageBreakBefore/>
    </w:pPr>
  </w:style>
  <w:style w:type="paragraph" w:customStyle="1" w:styleId="Border">
    <w:name w:val="Border"/>
    <w:basedOn w:val="Normal"/>
    <w:qFormat/>
    <w:rsid w:val="00B12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C29"/>
    <w:rPr>
      <w:b/>
      <w:bCs/>
      <w:i/>
      <w:iCs/>
      <w:color w:val="auto"/>
    </w:rPr>
  </w:style>
  <w:style w:type="paragraph" w:styleId="IntenseQuote">
    <w:name w:val="Intense Quote"/>
    <w:basedOn w:val="Normal"/>
    <w:next w:val="Normal"/>
    <w:link w:val="IntenseQuoteChar"/>
    <w:uiPriority w:val="30"/>
    <w:qFormat/>
    <w:rsid w:val="00B12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C29"/>
    <w:rPr>
      <w:smallCaps/>
      <w:color w:val="auto"/>
      <w:u w:val="single"/>
    </w:rPr>
  </w:style>
  <w:style w:type="character" w:styleId="IntenseReference">
    <w:name w:val="Intense Reference"/>
    <w:basedOn w:val="DefaultParagraphFont"/>
    <w:uiPriority w:val="32"/>
    <w:qFormat/>
    <w:rsid w:val="00B12C29"/>
    <w:rPr>
      <w:b/>
      <w:bCs/>
      <w:smallCaps/>
      <w:color w:val="auto"/>
      <w:spacing w:val="5"/>
      <w:u w:val="single"/>
    </w:rPr>
  </w:style>
  <w:style w:type="paragraph" w:customStyle="1" w:styleId="2ColumnHeading">
    <w:name w:val="2Column Heading"/>
    <w:basedOn w:val="BodyText"/>
    <w:qFormat/>
    <w:rsid w:val="00B12C29"/>
    <w:pPr>
      <w:spacing w:after="60"/>
      <w:ind w:left="-2268"/>
    </w:pPr>
    <w:rPr>
      <w:b/>
    </w:rPr>
  </w:style>
  <w:style w:type="paragraph" w:customStyle="1" w:styleId="Heading1TOC">
    <w:name w:val="Heading1 TOC"/>
    <w:basedOn w:val="Normal"/>
    <w:qFormat/>
    <w:rsid w:val="00B12C29"/>
    <w:pPr>
      <w:spacing w:before="240" w:after="120"/>
    </w:pPr>
    <w:rPr>
      <w:rFonts w:ascii="Times New Roman" w:hAnsi="Times New Roman"/>
      <w:b/>
      <w:sz w:val="32"/>
    </w:rPr>
  </w:style>
  <w:style w:type="paragraph" w:customStyle="1" w:styleId="Heading2TOC">
    <w:name w:val="Heading2 TOC"/>
    <w:basedOn w:val="Normal"/>
    <w:qFormat/>
    <w:rsid w:val="00B12C29"/>
    <w:pPr>
      <w:spacing w:before="240" w:after="60"/>
    </w:pPr>
    <w:rPr>
      <w:rFonts w:ascii="Times New Roman" w:hAnsi="Times New Roman"/>
      <w:b/>
      <w:sz w:val="28"/>
    </w:rPr>
  </w:style>
  <w:style w:type="character" w:customStyle="1" w:styleId="Underline">
    <w:name w:val="Underline"/>
    <w:basedOn w:val="DefaultParagraphFont"/>
    <w:qFormat/>
    <w:rsid w:val="00B12C29"/>
    <w:rPr>
      <w:u w:val="single"/>
    </w:rPr>
  </w:style>
  <w:style w:type="paragraph" w:styleId="BalloonText">
    <w:name w:val="Balloon Text"/>
    <w:basedOn w:val="Normal"/>
    <w:link w:val="BalloonTextChar"/>
    <w:rsid w:val="00B12C29"/>
    <w:rPr>
      <w:rFonts w:ascii="Tahoma" w:hAnsi="Tahoma" w:cs="Tahoma"/>
      <w:sz w:val="16"/>
      <w:szCs w:val="16"/>
    </w:rPr>
  </w:style>
  <w:style w:type="character" w:customStyle="1" w:styleId="BalloonTextChar">
    <w:name w:val="Balloon Text Char"/>
    <w:basedOn w:val="DefaultParagraphFont"/>
    <w:link w:val="BalloonText"/>
    <w:rsid w:val="00B12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C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C29"/>
    <w:rPr>
      <w:b/>
      <w:color w:val="660033"/>
      <w:spacing w:val="0"/>
    </w:rPr>
  </w:style>
  <w:style w:type="paragraph" w:customStyle="1" w:styleId="Nameditemlist">
    <w:name w:val="Named item list"/>
    <w:basedOn w:val="BodyText"/>
    <w:qFormat/>
    <w:rsid w:val="00B12C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6994</Characters>
  <Application>Microsoft Office Word</Application>
  <DocSecurity>0</DocSecurity>
  <Lines>222</Lines>
  <Paragraphs>133</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SIRXPRO002A Implement product recalls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2012-06-14T08:26:00Z</dcterms:created>
  <dcterms:modified xsi:type="dcterms:W3CDTF">2012-06-14T08:26:00Z</dcterms:modified>
</cp:coreProperties>
</file>