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886" w:rsidP="00287886">
      <w:pPr>
        <w:pStyle w:val="Title"/>
      </w:pPr>
      <w:bookmarkStart w:id="0" w:name="_GoBack"/>
      <w:bookmarkEnd w:id="0"/>
      <w:r>
        <w:fldChar w:fldCharType="begin"/>
      </w:r>
      <w:r>
        <w:instrText xml:space="preserve"> TITLE   \* MERGEFORMAT </w:instrText>
      </w:r>
      <w:r>
        <w:fldChar w:fldCharType="separate"/>
      </w:r>
      <w:r>
        <w:t>SIRXGLC502 Establish business legal and legislative requirements</w:t>
      </w:r>
      <w:r>
        <w:fldChar w:fldCharType="end"/>
      </w:r>
    </w:p>
    <w:p w:rsidR="00287886" w:rsidP="00287886">
      <w:pPr>
        <w:pStyle w:val="Version"/>
        <w:sectPr w:rsidSect="00472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BCC" w:rsidP="00472BCC">
      <w:pPr>
        <w:pStyle w:val="SuperHeading"/>
      </w:pPr>
      <w:r w:rsidRPr="00472BCC">
        <w:t>SIRXGLC502 Establish business legal and legislative requirements</w:t>
      </w:r>
    </w:p>
    <w:p w:rsidR="00000000" w:rsidRPr="00472BCC" w:rsidP="00472BCC">
      <w:pPr>
        <w:pStyle w:val="Heading1"/>
      </w:pPr>
      <w:bookmarkStart w:id="1" w:name="O_394277"/>
      <w:bookmarkEnd w:id="1"/>
      <w:r w:rsidRPr="00472BCC">
        <w:t>Modification History</w:t>
      </w:r>
    </w:p>
    <w:p w:rsidR="00000000" w:rsidRPr="00472BCC" w:rsidP="00472BCC">
      <w:pPr>
        <w:pStyle w:val="BodyText"/>
      </w:pPr>
      <w:r w:rsidRPr="00472BCC">
        <w:t>The version details of this endorsed unit are in the table below</w:t>
      </w:r>
      <w:r w:rsidRPr="00472BCC">
        <w:t>. The latest information is at the top.</w:t>
      </w:r>
    </w:p>
    <w:tbl>
      <w:tblPr>
        <w:tblW w:w="0" w:type="auto"/>
        <w:tblCellMar>
          <w:left w:w="62" w:type="dxa"/>
          <w:right w:w="62" w:type="dxa"/>
        </w:tblCellMar>
        <w:tblLook w:val="0000"/>
      </w:tblPr>
      <w:tblGrid>
        <w:gridCol w:w="4609"/>
        <w:gridCol w:w="4587"/>
      </w:tblGrid>
      <w:tr w:rsidTr="00287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BCC" w:rsidP="00472BCC">
            <w:pPr>
              <w:pStyle w:val="BodyText"/>
            </w:pPr>
            <w:r w:rsidRPr="00472BC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BCC">
            <w:pPr>
              <w:pStyle w:val="BodyText"/>
              <w:rPr>
                <w:lang w:val="en-NZ"/>
              </w:rPr>
            </w:pPr>
            <w:r w:rsidRPr="00472BCC">
              <w:rPr>
                <w:rStyle w:val="SpecialBold"/>
              </w:rPr>
              <w:t>Comments</w:t>
            </w:r>
          </w:p>
        </w:tc>
      </w:tr>
      <w:tr w:rsidTr="002878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BCC">
            <w:pPr>
              <w:pStyle w:val="BodyText"/>
              <w:rPr>
                <w:lang w:val="en-NZ"/>
              </w:rPr>
            </w:pPr>
            <w:r w:rsidRPr="00472BCC">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BCC" w:rsidP="00472BCC">
            <w:pPr>
              <w:pStyle w:val="BodyText"/>
            </w:pPr>
            <w:r w:rsidRPr="00472BCC">
              <w:t>This is a revised unit, based on but not equivalent to SIRXGLC002A Establish compliance with legislative requirements. Significant review of unit, with deletion of wholesale focus and</w:t>
            </w:r>
            <w:r w:rsidRPr="00472BCC">
              <w:t xml:space="preserve"> addition of content from deleted unit SIRXGLC003A Comply with legislative requirements affecting business activities.</w:t>
            </w:r>
          </w:p>
        </w:tc>
      </w:tr>
    </w:tbl>
    <w:p w:rsidR="00000000" w:rsidRPr="00472BCC" w:rsidP="00472BCC">
      <w:pPr>
        <w:pStyle w:val="BodyText"/>
      </w:pPr>
    </w:p>
    <w:p w:rsidR="00000000" w:rsidRPr="00472BCC" w:rsidP="00472BCC">
      <w:pPr>
        <w:pStyle w:val="AllowPageBreak"/>
      </w:pPr>
    </w:p>
    <w:p w:rsidR="00000000" w:rsidRPr="00472BCC" w:rsidP="00472BCC">
      <w:pPr>
        <w:pStyle w:val="Heading1"/>
      </w:pPr>
      <w:bookmarkStart w:id="2" w:name="O_394278"/>
      <w:bookmarkEnd w:id="2"/>
      <w:r w:rsidRPr="00472BCC">
        <w:t>Unit Descriptor</w:t>
      </w:r>
    </w:p>
    <w:p w:rsidR="00000000" w:rsidRPr="00472BCC" w:rsidP="00472BCC">
      <w:pPr>
        <w:pStyle w:val="BodyText"/>
      </w:pPr>
      <w:r w:rsidRPr="00472BCC">
        <w:t>This unit describes the performance outcomes, skills and knowledge required to identify and understand the salient features of the legal environment as they affect businesses, and to establish compliance with legal and legislative requirements.</w:t>
      </w:r>
    </w:p>
    <w:p w:rsidR="00000000" w:rsidRPr="00472BCC" w:rsidP="00472BCC">
      <w:pPr>
        <w:pStyle w:val="BodyText"/>
      </w:pPr>
    </w:p>
    <w:p w:rsidR="00000000" w:rsidRPr="00472BCC" w:rsidP="00472BCC">
      <w:pPr>
        <w:pStyle w:val="BodyText"/>
      </w:pPr>
      <w:r w:rsidRPr="00472BCC">
        <w:t xml:space="preserve">This unit </w:t>
      </w:r>
      <w:r w:rsidRPr="00472BCC">
        <w:t>covers aspects of contract law, intellectual property, product recall risk, and transfer of ownership across national boundaries.</w:t>
      </w:r>
    </w:p>
    <w:p w:rsidR="00000000" w:rsidRPr="00472BCC" w:rsidP="00472BCC">
      <w:pPr>
        <w:pStyle w:val="AllowPageBreak"/>
      </w:pPr>
    </w:p>
    <w:p w:rsidR="00000000" w:rsidRPr="00472BCC" w:rsidP="00472BCC">
      <w:pPr>
        <w:pStyle w:val="Heading1"/>
      </w:pPr>
      <w:bookmarkStart w:id="3" w:name="O_394279"/>
      <w:bookmarkEnd w:id="3"/>
      <w:r w:rsidRPr="00472BCC">
        <w:t>Application of the Unit</w:t>
      </w:r>
    </w:p>
    <w:p w:rsidR="00000000" w:rsidRPr="00472BCC" w:rsidP="00472BCC">
      <w:pPr>
        <w:pStyle w:val="BodyText"/>
      </w:pPr>
      <w:r w:rsidRPr="00472BCC">
        <w:t>This unit applies to senior managers and business owners.</w:t>
      </w:r>
    </w:p>
    <w:p w:rsidR="00000000" w:rsidRPr="00472BCC" w:rsidP="00472BCC">
      <w:pPr>
        <w:pStyle w:val="AllowPageBreak"/>
      </w:pPr>
    </w:p>
    <w:p w:rsidR="00000000" w:rsidRPr="00472BCC" w:rsidP="00472BCC">
      <w:pPr>
        <w:pStyle w:val="Heading1"/>
      </w:pPr>
      <w:bookmarkStart w:id="4" w:name="O_394280"/>
      <w:bookmarkEnd w:id="4"/>
      <w:r w:rsidRPr="00472BCC">
        <w:t>Licensing/</w:t>
      </w:r>
      <w:r w:rsidRPr="00472BCC">
        <w:t>Regulatory Information</w:t>
      </w:r>
    </w:p>
    <w:p w:rsidR="00000000" w:rsidRPr="00472BCC" w:rsidP="00472BCC">
      <w:pPr>
        <w:pStyle w:val="BodyText"/>
      </w:pPr>
      <w:r w:rsidRPr="00472BCC">
        <w:t>Licensing, legislative and regulatory requirements apply to the legal establishment of a business at the time of endorsement. Checks should be made of current requirements within the relevant state or territory.</w:t>
      </w:r>
    </w:p>
    <w:p w:rsidR="00000000" w:rsidRPr="00472BCC" w:rsidP="00472BCC">
      <w:pPr>
        <w:pStyle w:val="AllowPageBreak"/>
      </w:pPr>
    </w:p>
    <w:p w:rsidR="00000000" w:rsidRPr="00472BCC" w:rsidP="00472BCC">
      <w:pPr>
        <w:pStyle w:val="Heading1"/>
      </w:pPr>
      <w:bookmarkStart w:id="5" w:name="O_394281"/>
      <w:bookmarkEnd w:id="5"/>
      <w:r w:rsidRPr="00472BCC">
        <w:t>Pre-</w:t>
      </w:r>
      <w:r w:rsidRPr="00472BCC">
        <w:t>Requisites</w:t>
      </w:r>
    </w:p>
    <w:p w:rsidR="00000000" w:rsidRPr="00472BCC" w:rsidP="00472BCC">
      <w:pPr>
        <w:pStyle w:val="BodyText"/>
      </w:pPr>
      <w:r w:rsidRPr="00472BCC">
        <w:t>Nil</w:t>
      </w:r>
    </w:p>
    <w:p w:rsidR="00000000" w:rsidRPr="00472BCC" w:rsidP="00472BCC">
      <w:pPr>
        <w:pStyle w:val="AllowPageBreak"/>
      </w:pPr>
    </w:p>
    <w:p w:rsidR="00000000" w:rsidRPr="00472BCC" w:rsidP="00472BCC">
      <w:pPr>
        <w:pStyle w:val="Heading1"/>
      </w:pPr>
      <w:bookmarkStart w:id="6" w:name="O_394282"/>
      <w:bookmarkEnd w:id="6"/>
      <w:r w:rsidRPr="00472BCC">
        <w:t>Employability Skills Information</w:t>
      </w:r>
    </w:p>
    <w:p w:rsidR="00000000" w:rsidRPr="00472BCC" w:rsidP="00472BCC">
      <w:pPr>
        <w:pStyle w:val="BodyText"/>
      </w:pPr>
      <w:r w:rsidRPr="00472BCC">
        <w:t>This unit contains employability skills.</w:t>
      </w:r>
    </w:p>
    <w:p w:rsidR="00000000" w:rsidRPr="00472BCC" w:rsidP="00472BCC">
      <w:pPr>
        <w:pStyle w:val="AllowPageBreak"/>
      </w:pPr>
    </w:p>
    <w:p w:rsidR="00000000" w:rsidRPr="00472BCC" w:rsidP="00472BCC">
      <w:pPr>
        <w:pStyle w:val="Heading1"/>
      </w:pPr>
      <w:bookmarkStart w:id="7" w:name="O_394283"/>
      <w:bookmarkEnd w:id="7"/>
      <w:r w:rsidRPr="00472BCC">
        <w:t>Elements and Performance Criteria Pre-Content</w:t>
      </w:r>
    </w:p>
    <w:p w:rsidR="00000000" w:rsidRPr="00472BCC" w:rsidP="00472BCC">
      <w:pPr>
        <w:pStyle w:val="Heading1"/>
      </w:pPr>
      <w:bookmarkStart w:id="8" w:name="O_394284"/>
      <w:bookmarkEnd w:id="8"/>
      <w:r w:rsidRPr="00472BCC">
        <w:t>Elements and Performance Criteria</w:t>
      </w:r>
    </w:p>
    <w:tbl>
      <w:tblPr>
        <w:tblW w:w="0" w:type="auto"/>
        <w:tblCellMar>
          <w:left w:w="62" w:type="dxa"/>
          <w:right w:w="62" w:type="dxa"/>
        </w:tblCellMar>
        <w:tblLook w:val="0000"/>
      </w:tblPr>
      <w:tblGrid>
        <w:gridCol w:w="3491"/>
        <w:gridCol w:w="5705"/>
      </w:tblGrid>
      <w:tr w:rsidTr="00287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2BCC" w:rsidP="00472BCC">
            <w:pPr>
              <w:pStyle w:val="BodyText"/>
            </w:pPr>
            <w:r w:rsidRPr="00472BC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Performance Criteria</w:t>
            </w:r>
          </w:p>
        </w:tc>
      </w:tr>
      <w:tr w:rsidTr="00287886">
        <w:tblPrEx>
          <w:tblW w:w="0" w:type="auto"/>
          <w:tblCellMar>
            <w:left w:w="62" w:type="dxa"/>
            <w:right w:w="62" w:type="dxa"/>
          </w:tblCellMar>
          <w:tblLook w:val="0000"/>
        </w:tblPrEx>
        <w:trPr>
          <w:trHeight w:val="1828"/>
        </w:trPr>
        <w:tc>
          <w:tcPr>
            <w:tcW w:w="0" w:type="auto"/>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Performance criteria describe the performance needed to demonstrate achievement of the element. Where bold italicised text is used, further information is detailed in the required skills and</w:t>
            </w:r>
            <w:r w:rsidRPr="00472BCC">
              <w:t xml:space="preserve"> knowledge section and the range statement. Assessment of performance is to be consistent with the evidence guide.</w:t>
            </w:r>
          </w:p>
        </w:tc>
      </w:tr>
      <w:tr w:rsidTr="00287886">
        <w:tblPrEx>
          <w:tblW w:w="0" w:type="auto"/>
          <w:tblCellMar>
            <w:left w:w="62" w:type="dxa"/>
            <w:right w:w="62" w:type="dxa"/>
          </w:tblCellMar>
          <w:tblLook w:val="0000"/>
        </w:tblPrEx>
        <w:trPr>
          <w:trHeight w:val="542"/>
        </w:trPr>
        <w:tc>
          <w:tcPr>
            <w:tcW w:w="0" w:type="auto"/>
            <w:tcBorders>
              <w:top w:val="nil"/>
              <w:left w:val="nil"/>
              <w:bottom w:val="nil"/>
              <w:right w:val="nil"/>
            </w:tcBorders>
            <w:tcMar>
              <w:top w:w="0" w:type="dxa"/>
              <w:left w:w="62" w:type="dxa"/>
              <w:bottom w:w="0" w:type="dxa"/>
              <w:right w:w="62" w:type="dxa"/>
            </w:tcMar>
          </w:tcPr>
          <w:p w:rsidR="00000000" w:rsidP="00472BCC">
            <w:pPr>
              <w:pStyle w:val="List"/>
              <w:rPr>
                <w:lang w:val="en-NZ"/>
              </w:rPr>
            </w:pPr>
            <w:r w:rsidRPr="00472BCC">
              <w:t>1.</w:t>
            </w:r>
            <w:r w:rsidRPr="00472BCC">
              <w:tab/>
              <w:t>Examine legal compliance of business-to-business arrangements.</w:t>
            </w:r>
          </w:p>
        </w:tc>
        <w:tc>
          <w:tcPr>
            <w:tcW w:w="0" w:type="auto"/>
            <w:tcBorders>
              <w:top w:val="nil"/>
              <w:left w:val="nil"/>
              <w:bottom w:val="nil"/>
              <w:right w:val="nil"/>
            </w:tcBorders>
            <w:tcMar>
              <w:top w:w="0" w:type="dxa"/>
              <w:left w:w="62" w:type="dxa"/>
              <w:bottom w:w="0" w:type="dxa"/>
              <w:right w:w="62" w:type="dxa"/>
            </w:tcMar>
          </w:tcPr>
          <w:p w:rsidR="00000000" w:rsidRPr="00472BCC" w:rsidP="00472BCC">
            <w:pPr>
              <w:pStyle w:val="List"/>
            </w:pPr>
            <w:r w:rsidRPr="00472BCC">
              <w:t xml:space="preserve">1.1.Determine key elements of major </w:t>
            </w:r>
            <w:r w:rsidRPr="00472BCC">
              <w:rPr>
                <w:rStyle w:val="BoldandItalics"/>
              </w:rPr>
              <w:t>legal oversight system</w:t>
            </w:r>
            <w:r w:rsidRPr="00472BCC">
              <w:t>s affecting busi</w:t>
            </w:r>
            <w:r w:rsidRPr="00472BCC">
              <w:t>ness-to-business operations.</w:t>
            </w:r>
          </w:p>
          <w:p w:rsidR="00000000" w:rsidRPr="00472BCC" w:rsidP="00472BCC">
            <w:pPr>
              <w:pStyle w:val="List"/>
            </w:pPr>
            <w:r w:rsidRPr="00472BCC">
              <w:t xml:space="preserve">1.2.Compare various issues affecting </w:t>
            </w:r>
            <w:r w:rsidRPr="00472BCC">
              <w:rPr>
                <w:rStyle w:val="BoldandItalics"/>
              </w:rPr>
              <w:t>different forms of contract and agreements</w:t>
            </w:r>
            <w:r w:rsidRPr="00472BCC">
              <w:t xml:space="preserve"> within business operations.</w:t>
            </w:r>
          </w:p>
          <w:p w:rsidR="00000000" w:rsidRPr="00472BCC" w:rsidP="00472BCC">
            <w:pPr>
              <w:pStyle w:val="List"/>
            </w:pPr>
            <w:r w:rsidRPr="00472BCC">
              <w:t>1.3.Detail business entities commonly encountered in the business environment.</w:t>
            </w:r>
          </w:p>
          <w:p w:rsidR="00000000" w:rsidRPr="00472BCC" w:rsidP="00472BCC">
            <w:pPr>
              <w:pStyle w:val="List"/>
            </w:pPr>
            <w:r w:rsidRPr="00472BCC">
              <w:t xml:space="preserve">1.4.Examine legal aspects of </w:t>
            </w:r>
            <w:r w:rsidRPr="00472BCC">
              <w:rPr>
                <w:rStyle w:val="BoldandItalics"/>
              </w:rPr>
              <w:t>financial t</w:t>
            </w:r>
            <w:r w:rsidRPr="00472BCC">
              <w:rPr>
                <w:rStyle w:val="BoldandItalics"/>
              </w:rPr>
              <w:t>ransactions</w:t>
            </w:r>
            <w:r w:rsidRPr="00472BCC">
              <w:t xml:space="preserve"> within business operations.</w:t>
            </w:r>
          </w:p>
          <w:p w:rsidR="00000000" w:rsidRPr="00472BCC" w:rsidP="00472BCC">
            <w:pPr>
              <w:pStyle w:val="List"/>
            </w:pPr>
            <w:r w:rsidRPr="00472BCC">
              <w:t>1.5.Determine</w:t>
            </w:r>
            <w:r w:rsidRPr="00472BCC">
              <w:rPr>
                <w:rStyle w:val="BoldandItalics"/>
              </w:rPr>
              <w:t xml:space="preserve"> legal requirements</w:t>
            </w:r>
            <w:r w:rsidRPr="00472BCC">
              <w:t xml:space="preserve"> for the sale of products and services across state, territory, regional and national borders.</w:t>
            </w:r>
          </w:p>
          <w:p w:rsidR="00000000" w:rsidP="00472BCC">
            <w:pPr>
              <w:pStyle w:val="List"/>
              <w:rPr>
                <w:lang w:val="en-NZ"/>
              </w:rPr>
            </w:pPr>
            <w:r w:rsidRPr="00472BCC">
              <w:t>1.6.Examine legal implications of e-commerce for business-to-business operations.</w:t>
            </w:r>
          </w:p>
        </w:tc>
      </w:tr>
      <w:tr w:rsidTr="00287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BCC">
            <w:pPr>
              <w:pStyle w:val="List"/>
              <w:rPr>
                <w:lang w:val="en-NZ"/>
              </w:rPr>
            </w:pPr>
            <w:r w:rsidRPr="00472BCC">
              <w:t>2.</w:t>
            </w:r>
            <w:r w:rsidRPr="00472BCC">
              <w:tab/>
            </w:r>
            <w:r w:rsidRPr="00472BCC">
              <w:t>Establish compliance of current product recall policy and procedures.</w:t>
            </w:r>
          </w:p>
        </w:tc>
        <w:tc>
          <w:tcPr>
            <w:tcW w:w="0" w:type="auto"/>
            <w:tcBorders>
              <w:top w:val="nil"/>
              <w:left w:val="nil"/>
              <w:bottom w:val="nil"/>
              <w:right w:val="nil"/>
            </w:tcBorders>
            <w:tcMar>
              <w:top w:w="0" w:type="dxa"/>
              <w:left w:w="62" w:type="dxa"/>
              <w:bottom w:w="0" w:type="dxa"/>
              <w:right w:w="62" w:type="dxa"/>
            </w:tcMar>
          </w:tcPr>
          <w:p w:rsidR="00000000" w:rsidRPr="00472BCC" w:rsidP="00472BCC">
            <w:pPr>
              <w:pStyle w:val="List"/>
            </w:pPr>
            <w:r w:rsidRPr="00472BCC">
              <w:t xml:space="preserve">2.1.Develop </w:t>
            </w:r>
            <w:r w:rsidRPr="00472BCC">
              <w:rPr>
                <w:rStyle w:val="BoldandItalics"/>
              </w:rPr>
              <w:t>procedures and guidelines</w:t>
            </w:r>
            <w:r w:rsidRPr="00472BCC">
              <w:t xml:space="preserve"> for supplier-initiated recalls.</w:t>
            </w:r>
          </w:p>
          <w:p w:rsidR="00000000" w:rsidRPr="00472BCC" w:rsidP="00472BCC">
            <w:pPr>
              <w:pStyle w:val="List"/>
            </w:pPr>
            <w:r w:rsidRPr="00472BCC">
              <w:t>2.2.Develop recall procedures and guidelines for government or industry-initiated recalls.</w:t>
            </w:r>
          </w:p>
          <w:p w:rsidR="00000000" w:rsidRPr="00472BCC" w:rsidP="00472BCC">
            <w:pPr>
              <w:pStyle w:val="List"/>
            </w:pPr>
            <w:r w:rsidRPr="00472BCC">
              <w:t>2.3.Ensure product recall</w:t>
            </w:r>
            <w:r w:rsidRPr="00472BCC">
              <w:t xml:space="preserve"> procedures and guidelines comply with prevailing legislative, legal and industry requirements.</w:t>
            </w:r>
          </w:p>
          <w:p w:rsidR="00000000" w:rsidRPr="00472BCC" w:rsidP="00472BCC">
            <w:pPr>
              <w:pStyle w:val="List"/>
            </w:pPr>
            <w:r w:rsidRPr="00472BCC">
              <w:t xml:space="preserve">2.4.Circulate product recall procedures and policies to </w:t>
            </w:r>
            <w:r w:rsidRPr="00472BCC">
              <w:rPr>
                <w:rStyle w:val="BoldandItalics"/>
              </w:rPr>
              <w:t>relevant personnel</w:t>
            </w:r>
            <w:r w:rsidRPr="00472BCC">
              <w:t xml:space="preserve"> and business partners.</w:t>
            </w:r>
          </w:p>
          <w:p w:rsidR="00000000" w:rsidRPr="00472BCC" w:rsidP="00472BCC">
            <w:pPr>
              <w:pStyle w:val="List"/>
            </w:pPr>
            <w:r w:rsidRPr="00472BCC">
              <w:t>2.5.Establish procedures for halting or monitoring the sale an</w:t>
            </w:r>
            <w:r w:rsidRPr="00472BCC">
              <w:t>d distribution of recalled products.</w:t>
            </w:r>
          </w:p>
          <w:p w:rsidR="00000000" w:rsidRPr="00472BCC" w:rsidP="00472BCC">
            <w:pPr>
              <w:pStyle w:val="List"/>
            </w:pPr>
            <w:r w:rsidRPr="00472BCC">
              <w:t>2.6.Inform</w:t>
            </w:r>
            <w:r w:rsidRPr="00472BCC">
              <w:rPr>
                <w:rStyle w:val="BoldandItalics"/>
              </w:rPr>
              <w:t xml:space="preserve"> staff</w:t>
            </w:r>
            <w:r w:rsidRPr="00472BCC">
              <w:t xml:space="preserve"> of risks associated with recalled products.</w:t>
            </w:r>
          </w:p>
          <w:p w:rsidR="00000000" w:rsidRPr="00472BCC" w:rsidP="00472BCC">
            <w:pPr>
              <w:pStyle w:val="List"/>
            </w:pPr>
            <w:r w:rsidRPr="00472BCC">
              <w:t>2.7.Establish policy and procedures for dealing with media and consumer enquiries relating to product recalls.</w:t>
            </w:r>
          </w:p>
          <w:p w:rsidR="00000000" w:rsidRPr="00472BCC" w:rsidP="00472BCC">
            <w:pPr>
              <w:pStyle w:val="List"/>
            </w:pPr>
            <w:r w:rsidRPr="00472BCC">
              <w:t>2.8.Establish storage, isolation or disposal pr</w:t>
            </w:r>
            <w:r w:rsidRPr="00472BCC">
              <w:t>ocess for recalled products according to risk and recall notification.</w:t>
            </w:r>
          </w:p>
          <w:p w:rsidR="00000000" w:rsidP="00472BCC">
            <w:pPr>
              <w:pStyle w:val="List"/>
              <w:rPr>
                <w:lang w:val="en-NZ"/>
              </w:rPr>
            </w:pPr>
            <w:r w:rsidRPr="00472BCC">
              <w:t>2.9.Analyse records and reports on product recall activities and costs.</w:t>
            </w:r>
          </w:p>
        </w:tc>
      </w:tr>
      <w:tr w:rsidTr="00287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BCC">
            <w:pPr>
              <w:pStyle w:val="List"/>
              <w:rPr>
                <w:lang w:val="en-NZ"/>
              </w:rPr>
            </w:pPr>
            <w:r w:rsidRPr="00472BCC">
              <w:t>3.</w:t>
            </w:r>
            <w:r w:rsidRPr="00472BCC">
              <w:tab/>
              <w:t>Ensure compliance of parties undertaking business transactions.</w:t>
            </w:r>
          </w:p>
        </w:tc>
        <w:tc>
          <w:tcPr>
            <w:tcW w:w="0" w:type="auto"/>
            <w:tcBorders>
              <w:top w:val="nil"/>
              <w:left w:val="nil"/>
              <w:bottom w:val="nil"/>
              <w:right w:val="nil"/>
            </w:tcBorders>
            <w:tcMar>
              <w:top w:w="0" w:type="dxa"/>
              <w:left w:w="62" w:type="dxa"/>
              <w:bottom w:w="0" w:type="dxa"/>
              <w:right w:w="62" w:type="dxa"/>
            </w:tcMar>
          </w:tcPr>
          <w:p w:rsidR="00000000" w:rsidRPr="00472BCC" w:rsidP="00472BCC">
            <w:pPr>
              <w:pStyle w:val="List"/>
            </w:pPr>
            <w:r w:rsidRPr="00472BCC">
              <w:t>3.1.Determine legal rules relating to ownersh</w:t>
            </w:r>
            <w:r w:rsidRPr="00472BCC">
              <w:t>ip of assets and intellectual property.</w:t>
            </w:r>
          </w:p>
          <w:p w:rsidR="00000000" w:rsidRPr="00472BCC" w:rsidP="00472BCC">
            <w:pPr>
              <w:pStyle w:val="List"/>
            </w:pPr>
            <w:r w:rsidRPr="00472BCC">
              <w:t>3.2.Apply legal rules relating to the transfer of risk.</w:t>
            </w:r>
          </w:p>
          <w:p w:rsidR="00000000" w:rsidRPr="00472BCC" w:rsidP="00472BCC">
            <w:pPr>
              <w:pStyle w:val="List"/>
            </w:pPr>
            <w:r w:rsidRPr="00472BCC">
              <w:t>3.3.Design and issue warranties in compliance with relevant legislation.</w:t>
            </w:r>
          </w:p>
          <w:p w:rsidR="00000000" w:rsidRPr="00472BCC" w:rsidP="00472BCC">
            <w:pPr>
              <w:pStyle w:val="List"/>
            </w:pPr>
            <w:r w:rsidRPr="00472BCC">
              <w:t>3.4.Ensure insurance for business operations and products complies with relevant legisl</w:t>
            </w:r>
            <w:r w:rsidRPr="00472BCC">
              <w:t>ation.</w:t>
            </w:r>
          </w:p>
          <w:p w:rsidR="00000000" w:rsidP="00472BCC">
            <w:pPr>
              <w:pStyle w:val="List"/>
              <w:rPr>
                <w:lang w:val="en-NZ"/>
              </w:rPr>
            </w:pPr>
            <w:r w:rsidRPr="00472BCC">
              <w:t>3.5.Determine legal remedies and enforcement options available for the resolution of disputes.</w:t>
            </w:r>
          </w:p>
        </w:tc>
      </w:tr>
      <w:tr w:rsidTr="00287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BCC">
            <w:pPr>
              <w:pStyle w:val="List"/>
              <w:rPr>
                <w:lang w:val="en-NZ"/>
              </w:rPr>
            </w:pPr>
            <w:r w:rsidRPr="00472BCC">
              <w:t>4.</w:t>
            </w:r>
            <w:r w:rsidRPr="00472BCC">
              <w:tab/>
              <w:t>Ensure compliance with business and contract law.</w:t>
            </w:r>
          </w:p>
        </w:tc>
        <w:tc>
          <w:tcPr>
            <w:tcW w:w="0" w:type="auto"/>
            <w:tcBorders>
              <w:top w:val="nil"/>
              <w:left w:val="nil"/>
              <w:bottom w:val="nil"/>
              <w:right w:val="nil"/>
            </w:tcBorders>
            <w:tcMar>
              <w:top w:w="0" w:type="dxa"/>
              <w:left w:w="62" w:type="dxa"/>
              <w:bottom w:w="0" w:type="dxa"/>
              <w:right w:w="62" w:type="dxa"/>
            </w:tcMar>
          </w:tcPr>
          <w:p w:rsidR="00000000" w:rsidRPr="00472BCC" w:rsidP="00472BCC">
            <w:pPr>
              <w:pStyle w:val="List"/>
            </w:pPr>
            <w:r w:rsidRPr="00472BCC">
              <w:t>4.1.Determine and apply requirements for a valid contract to be formed in a business environment.</w:t>
            </w:r>
          </w:p>
          <w:p w:rsidR="00000000" w:rsidRPr="00472BCC" w:rsidP="00472BCC">
            <w:pPr>
              <w:pStyle w:val="List"/>
            </w:pPr>
            <w:r w:rsidRPr="00472BCC">
              <w:t>4.2.Apply remedies available for breaches of contract within a business-to-business transaction.</w:t>
            </w:r>
          </w:p>
          <w:p w:rsidR="00000000" w:rsidP="00472BCC">
            <w:pPr>
              <w:pStyle w:val="List"/>
              <w:rPr>
                <w:lang w:val="en-NZ"/>
              </w:rPr>
            </w:pPr>
            <w:r w:rsidRPr="00472BCC">
              <w:t>4.3.Analyse and apply range of principles affecting business-to-business licensing and other agreements.</w:t>
            </w:r>
          </w:p>
        </w:tc>
      </w:tr>
      <w:tr w:rsidTr="002878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2BCC">
            <w:pPr>
              <w:pStyle w:val="List"/>
              <w:rPr>
                <w:lang w:val="en-NZ"/>
              </w:rPr>
            </w:pPr>
            <w:r w:rsidRPr="00472BCC">
              <w:t>5.</w:t>
            </w:r>
            <w:r w:rsidRPr="00472BCC">
              <w:tab/>
              <w:t>Analyse application of intellectual property.</w:t>
            </w:r>
          </w:p>
        </w:tc>
        <w:tc>
          <w:tcPr>
            <w:tcW w:w="0" w:type="auto"/>
            <w:tcBorders>
              <w:top w:val="nil"/>
              <w:left w:val="nil"/>
              <w:bottom w:val="nil"/>
              <w:right w:val="nil"/>
            </w:tcBorders>
            <w:tcMar>
              <w:top w:w="0" w:type="dxa"/>
              <w:left w:w="62" w:type="dxa"/>
              <w:bottom w:w="0" w:type="dxa"/>
              <w:right w:w="62" w:type="dxa"/>
            </w:tcMar>
          </w:tcPr>
          <w:p w:rsidR="00000000" w:rsidRPr="00472BCC" w:rsidP="00472BCC">
            <w:pPr>
              <w:pStyle w:val="List"/>
            </w:pPr>
            <w:r w:rsidRPr="00472BCC">
              <w:t>5.1.</w:t>
            </w:r>
            <w:r w:rsidRPr="00472BCC">
              <w:t>Determine major principles relating to intellectual property and its creation.</w:t>
            </w:r>
          </w:p>
          <w:p w:rsidR="00000000" w:rsidRPr="00472BCC" w:rsidP="00472BCC">
            <w:pPr>
              <w:pStyle w:val="List"/>
            </w:pPr>
            <w:r w:rsidRPr="00472BCC">
              <w:t>5.2.Compare various forms or categories of intellectual property.</w:t>
            </w:r>
          </w:p>
          <w:p w:rsidR="00000000" w:rsidRPr="00472BCC" w:rsidP="00472BCC">
            <w:pPr>
              <w:pStyle w:val="List"/>
            </w:pPr>
            <w:r w:rsidRPr="00472BCC">
              <w:t>5.3.Apply law of copyright in business-to-business transactions and relationships.</w:t>
            </w:r>
          </w:p>
          <w:p w:rsidR="00000000" w:rsidRPr="00472BCC" w:rsidP="00472BCC">
            <w:pPr>
              <w:pStyle w:val="List"/>
            </w:pPr>
            <w:r w:rsidRPr="00472BCC">
              <w:t>5.4.Apply law of design in b</w:t>
            </w:r>
            <w:r w:rsidRPr="00472BCC">
              <w:t>usiness-to-business transactions and relationships.</w:t>
            </w:r>
          </w:p>
          <w:p w:rsidR="00000000" w:rsidRPr="00472BCC" w:rsidP="00472BCC">
            <w:pPr>
              <w:pStyle w:val="List"/>
            </w:pPr>
            <w:r w:rsidRPr="00472BCC">
              <w:t>5.5.Analyse various methods of regulating patents and trademarks in an international and local business environment.</w:t>
            </w:r>
          </w:p>
          <w:p w:rsidR="00000000" w:rsidRPr="00472BCC" w:rsidP="00472BCC">
            <w:pPr>
              <w:pStyle w:val="List"/>
            </w:pPr>
            <w:r w:rsidRPr="00472BCC">
              <w:t xml:space="preserve">5.6.Apply principles of assignment and licensing of </w:t>
            </w:r>
            <w:r w:rsidRPr="00472BCC">
              <w:rPr>
                <w:rStyle w:val="BoldandItalics"/>
              </w:rPr>
              <w:t>intellectual property</w:t>
            </w:r>
            <w:r w:rsidRPr="00472BCC">
              <w:t xml:space="preserve"> rights.</w:t>
            </w:r>
          </w:p>
          <w:p w:rsidR="00000000" w:rsidP="00472BCC">
            <w:pPr>
              <w:pStyle w:val="List"/>
              <w:rPr>
                <w:lang w:val="en-NZ"/>
              </w:rPr>
            </w:pPr>
            <w:r w:rsidRPr="00472BCC">
              <w:t>5.7.D</w:t>
            </w:r>
            <w:r w:rsidRPr="00472BCC">
              <w:t>etermine legal consequences of franchising of intellectual propert</w:t>
            </w:r>
            <w:r w:rsidRPr="00472BCC">
              <w:rPr>
                <w:rStyle w:val="BoldandItalics"/>
              </w:rPr>
              <w:t>y</w:t>
            </w:r>
            <w:r w:rsidRPr="00472BCC">
              <w:t xml:space="preserve"> rights held by a business.</w:t>
            </w:r>
          </w:p>
        </w:tc>
      </w:tr>
      <w:tr w:rsidTr="00287886">
        <w:tblPrEx>
          <w:tblW w:w="0" w:type="auto"/>
          <w:tblCellMar>
            <w:left w:w="62" w:type="dxa"/>
            <w:right w:w="62" w:type="dxa"/>
          </w:tblCellMar>
          <w:tblLook w:val="0000"/>
        </w:tblPrEx>
        <w:trPr>
          <w:trHeight w:val="371"/>
        </w:trPr>
        <w:tc>
          <w:tcPr>
            <w:tcW w:w="0" w:type="auto"/>
            <w:tcBorders>
              <w:top w:val="nil"/>
              <w:left w:val="nil"/>
              <w:bottom w:val="nil"/>
              <w:right w:val="nil"/>
            </w:tcBorders>
            <w:tcMar>
              <w:top w:w="0" w:type="dxa"/>
              <w:left w:w="62" w:type="dxa"/>
              <w:bottom w:w="0" w:type="dxa"/>
              <w:right w:w="62" w:type="dxa"/>
            </w:tcMar>
          </w:tcPr>
          <w:p w:rsidR="00000000" w:rsidP="00472BCC">
            <w:pPr>
              <w:pStyle w:val="List"/>
              <w:rPr>
                <w:lang w:val="en-NZ"/>
              </w:rPr>
            </w:pPr>
            <w:r w:rsidRPr="00472BCC">
              <w:t>6.</w:t>
            </w:r>
            <w:r w:rsidRPr="00472BCC">
              <w:tab/>
              <w:t>Ensure compliance with workplace and safety laws.</w:t>
            </w:r>
          </w:p>
        </w:tc>
        <w:tc>
          <w:tcPr>
            <w:tcW w:w="0" w:type="auto"/>
            <w:tcBorders>
              <w:top w:val="nil"/>
              <w:left w:val="nil"/>
              <w:bottom w:val="nil"/>
              <w:right w:val="nil"/>
            </w:tcBorders>
            <w:tcMar>
              <w:top w:w="0" w:type="dxa"/>
              <w:left w:w="62" w:type="dxa"/>
              <w:bottom w:w="0" w:type="dxa"/>
              <w:right w:w="62" w:type="dxa"/>
            </w:tcMar>
          </w:tcPr>
          <w:p w:rsidR="00000000" w:rsidRPr="00472BCC" w:rsidP="00472BCC">
            <w:pPr>
              <w:pStyle w:val="List"/>
            </w:pPr>
            <w:r w:rsidRPr="00472BCC">
              <w:t>6.1.Identify and implement policies and procedures to ensure goods are handled, stored and transported safe</w:t>
            </w:r>
            <w:r w:rsidRPr="00472BCC">
              <w:t>ly and according to requirements for dangerous and hazardous materials.</w:t>
            </w:r>
          </w:p>
          <w:p w:rsidR="00000000" w:rsidRPr="00472BCC" w:rsidP="00472BCC">
            <w:pPr>
              <w:pStyle w:val="List"/>
            </w:pPr>
            <w:r w:rsidRPr="00472BCC">
              <w:t>6.2.Identify and implement policies and procedures to ensure food is handled, stored nd transported according to food safety requirements.</w:t>
            </w:r>
          </w:p>
          <w:p w:rsidR="00000000" w:rsidRPr="00472BCC" w:rsidP="00472BCC">
            <w:pPr>
              <w:pStyle w:val="List"/>
            </w:pPr>
            <w:r w:rsidRPr="00472BCC">
              <w:t>6.3.Identify and implement policies and proce</w:t>
            </w:r>
            <w:r w:rsidRPr="00472BCC">
              <w:t>dures to ensure equal employment opportunity (EEO), anti-discrimination and related legislative provisions and business codes are implemented.</w:t>
            </w:r>
          </w:p>
          <w:p w:rsidR="00000000" w:rsidRPr="00472BCC" w:rsidP="00472BCC">
            <w:pPr>
              <w:pStyle w:val="List"/>
            </w:pPr>
            <w:r w:rsidRPr="00472BCC">
              <w:t>6.4.</w:t>
            </w:r>
            <w:r w:rsidRPr="00472BCC">
              <w:rPr>
                <w:rStyle w:val="BoldandItalics"/>
              </w:rPr>
              <w:t>Record</w:t>
            </w:r>
            <w:r w:rsidRPr="00472BCC">
              <w:t>, store and transfer information according to legislative and business requirements.</w:t>
            </w:r>
          </w:p>
          <w:p w:rsidR="00000000" w:rsidRPr="00472BCC" w:rsidP="00472BCC">
            <w:pPr>
              <w:pStyle w:val="List"/>
            </w:pPr>
            <w:r w:rsidRPr="00472BCC">
              <w:t>6.5.Administer acc</w:t>
            </w:r>
            <w:r w:rsidRPr="00472BCC">
              <w:t>ess to records according to legislative and business requirements ensuring customer and staff privacy is protected.</w:t>
            </w:r>
          </w:p>
          <w:p w:rsidR="00000000" w:rsidRPr="00472BCC" w:rsidP="00472BCC">
            <w:pPr>
              <w:pStyle w:val="List"/>
            </w:pPr>
            <w:r w:rsidRPr="00472BCC">
              <w:t xml:space="preserve">6.6.Use </w:t>
            </w:r>
            <w:r w:rsidRPr="00472BCC">
              <w:rPr>
                <w:rStyle w:val="BoldandItalics"/>
              </w:rPr>
              <w:t>appropriate channels</w:t>
            </w:r>
            <w:r w:rsidRPr="00472BCC">
              <w:t xml:space="preserve"> to report and action </w:t>
            </w:r>
            <w:r w:rsidRPr="00472BCC">
              <w:rPr>
                <w:rStyle w:val="BoldandItalics"/>
              </w:rPr>
              <w:t>grievances or complaints</w:t>
            </w:r>
            <w:r w:rsidRPr="00472BCC">
              <w:t xml:space="preserve"> against individual behaviour or </w:t>
            </w:r>
            <w:r w:rsidRPr="00472BCC">
              <w:t>practices in line with organisational policies and procedures.</w:t>
            </w:r>
          </w:p>
        </w:tc>
      </w:tr>
    </w:tbl>
    <w:p w:rsidR="00000000" w:rsidRPr="00472BCC" w:rsidP="00472BCC">
      <w:pPr>
        <w:pStyle w:val="BodyText"/>
      </w:pPr>
    </w:p>
    <w:p w:rsidR="00000000" w:rsidRPr="00472BCC" w:rsidP="00472BCC">
      <w:pPr>
        <w:pStyle w:val="AllowPageBreak"/>
      </w:pPr>
    </w:p>
    <w:p w:rsidR="00000000" w:rsidRPr="00472BCC" w:rsidP="00472BCC">
      <w:pPr>
        <w:pStyle w:val="Heading1"/>
      </w:pPr>
      <w:bookmarkStart w:id="9" w:name="O_394285"/>
      <w:bookmarkEnd w:id="9"/>
      <w:r w:rsidRPr="00472BCC">
        <w:t>Required Skills and Knowledge</w:t>
      </w:r>
    </w:p>
    <w:tbl>
      <w:tblPr>
        <w:tblW w:w="9354" w:type="dxa"/>
        <w:tblLayout w:type="fixed"/>
        <w:tblCellMar>
          <w:left w:w="62" w:type="dxa"/>
          <w:right w:w="62" w:type="dxa"/>
        </w:tblCellMar>
        <w:tblLook w:val="0000"/>
      </w:tblPr>
      <w:tblGrid>
        <w:gridCol w:w="9354"/>
      </w:tblGrid>
      <w:tr w:rsidTr="00472BC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This section describes the skills and knowledge required for this unit.</w:t>
            </w:r>
          </w:p>
        </w:tc>
      </w:tr>
      <w:tr w:rsidTr="00472BC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Required skills</w:t>
            </w:r>
          </w:p>
        </w:tc>
      </w:tr>
      <w:tr w:rsidTr="00472BC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communication and interpersonal skills to:</w:t>
            </w:r>
          </w:p>
          <w:p w:rsidR="00000000" w:rsidRPr="00472BCC" w:rsidP="00472BCC">
            <w:pPr>
              <w:pStyle w:val="ListBullet2"/>
            </w:pPr>
            <w:r w:rsidRPr="00472BCC">
              <w:t>discuss risk management plan</w:t>
            </w:r>
          </w:p>
          <w:p w:rsidR="00000000" w:rsidRPr="00472BCC" w:rsidP="00472BCC">
            <w:pPr>
              <w:pStyle w:val="ListBullet2"/>
            </w:pPr>
            <w:r w:rsidRPr="00472BCC">
              <w:t>inform staff of risks associated with recalled products through clear and direct communication</w:t>
            </w:r>
          </w:p>
          <w:p w:rsidR="00000000" w:rsidRPr="00472BCC" w:rsidP="00472BCC">
            <w:pPr>
              <w:pStyle w:val="ListBullet2"/>
            </w:pPr>
            <w:r w:rsidRPr="00472BCC">
              <w:t>share information</w:t>
            </w:r>
          </w:p>
          <w:p w:rsidR="00000000" w:rsidRPr="00472BCC" w:rsidP="00472BCC">
            <w:pPr>
              <w:pStyle w:val="ListBullet2"/>
            </w:pPr>
            <w:r w:rsidRPr="00472BCC">
              <w:t>use and interpret non-verbal communication</w:t>
            </w:r>
          </w:p>
          <w:p w:rsidR="00000000" w:rsidRPr="00472BCC" w:rsidP="00472BCC">
            <w:pPr>
              <w:pStyle w:val="ListBullet2"/>
            </w:pPr>
            <w:r w:rsidRPr="00472BCC">
              <w:t>use language and concepts appropriate to cultural differences</w:t>
            </w:r>
          </w:p>
          <w:p w:rsidR="00000000" w:rsidRPr="00472BCC" w:rsidP="00472BCC">
            <w:pPr>
              <w:pStyle w:val="ListBullet"/>
            </w:pPr>
            <w:r w:rsidRPr="00472BCC">
              <w:t>literacy</w:t>
            </w:r>
            <w:r w:rsidRPr="00472BCC">
              <w:t xml:space="preserve"> and numeracy skills to:</w:t>
            </w:r>
          </w:p>
          <w:p w:rsidR="00000000" w:rsidRPr="00472BCC" w:rsidP="00472BCC">
            <w:pPr>
              <w:pStyle w:val="ListBullet2"/>
            </w:pPr>
            <w:r w:rsidRPr="00472BCC">
              <w:t>determine the costs and consequences of non</w:t>
            </w:r>
            <w:r w:rsidRPr="00472BCC">
              <w:noBreakHyphen/>
              <w:t>compliance with key legal obligations and requirements affecting wholesale transactions</w:t>
            </w:r>
          </w:p>
          <w:p w:rsidR="00000000" w:rsidRPr="00472BCC" w:rsidP="00472BCC">
            <w:pPr>
              <w:pStyle w:val="ListBullet2"/>
            </w:pPr>
            <w:r w:rsidRPr="00472BCC">
              <w:t>interpret language and meaning associated with legislative, statutory, legal, insurance and contra</w:t>
            </w:r>
            <w:r w:rsidRPr="00472BCC">
              <w:t>ctual documents that span national and international contexts</w:t>
            </w:r>
          </w:p>
          <w:p w:rsidR="00000000" w:rsidRPr="00472BCC" w:rsidP="00472BCC">
            <w:pPr>
              <w:pStyle w:val="ListBullet2"/>
            </w:pPr>
            <w:r w:rsidRPr="00472BCC">
              <w:t>record, store and transfer information</w:t>
            </w:r>
          </w:p>
          <w:p w:rsidR="00000000" w:rsidRPr="00472BCC" w:rsidP="00472BCC">
            <w:pPr>
              <w:pStyle w:val="ListBullet2"/>
            </w:pPr>
            <w:r w:rsidRPr="00472BCC">
              <w:t>research, plan, analyse and organise information</w:t>
            </w:r>
          </w:p>
          <w:p w:rsidR="00000000" w:rsidP="00472BCC">
            <w:pPr>
              <w:pStyle w:val="ListBullet"/>
              <w:rPr>
                <w:lang w:val="en-NZ"/>
              </w:rPr>
            </w:pPr>
            <w:r w:rsidRPr="00472BCC">
              <w:t>self-management skills to apply relevant legal principles</w:t>
            </w:r>
          </w:p>
        </w:tc>
      </w:tr>
      <w:tr w:rsidTr="00472BC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Required knowledge</w:t>
            </w:r>
          </w:p>
        </w:tc>
      </w:tr>
      <w:tr w:rsidTr="00472BC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business policy and procedures affecting job role or function</w:t>
            </w:r>
          </w:p>
          <w:p w:rsidR="00000000" w:rsidRPr="00472BCC" w:rsidP="00472BCC">
            <w:pPr>
              <w:pStyle w:val="ListBullet"/>
            </w:pPr>
            <w:r w:rsidRPr="00472BCC">
              <w:t>contract validation</w:t>
            </w:r>
          </w:p>
          <w:p w:rsidR="00000000" w:rsidRPr="00472BCC" w:rsidP="00472BCC">
            <w:pPr>
              <w:pStyle w:val="ListBullet"/>
            </w:pPr>
            <w:r w:rsidRPr="00472BCC">
              <w:t>information sources on product and supply arrangements for customers</w:t>
            </w:r>
          </w:p>
          <w:p w:rsidR="00000000" w:rsidRPr="00472BCC" w:rsidP="00472BCC">
            <w:pPr>
              <w:pStyle w:val="ListBullet"/>
            </w:pPr>
            <w:r w:rsidRPr="00472BCC">
              <w:t>principles relating to intellectual property</w:t>
            </w:r>
          </w:p>
          <w:p w:rsidR="00000000" w:rsidRPr="00472BCC" w:rsidP="00472BCC">
            <w:pPr>
              <w:pStyle w:val="ListBullet"/>
            </w:pPr>
            <w:r w:rsidRPr="00472BCC">
              <w:t>product and service warranties</w:t>
            </w:r>
          </w:p>
          <w:p w:rsidR="00000000" w:rsidRPr="00472BCC" w:rsidP="00472BCC">
            <w:pPr>
              <w:pStyle w:val="ListBullet"/>
            </w:pPr>
            <w:r w:rsidRPr="00472BCC">
              <w:t>relevant legislation and stat</w:t>
            </w:r>
            <w:r w:rsidRPr="00472BCC">
              <w:t>utory requirements, including:</w:t>
            </w:r>
          </w:p>
          <w:p w:rsidR="00000000" w:rsidRPr="00472BCC" w:rsidP="00472BCC">
            <w:pPr>
              <w:pStyle w:val="ListBullet2"/>
            </w:pPr>
            <w:r w:rsidRPr="00472BCC">
              <w:t>industry codes of practice</w:t>
            </w:r>
          </w:p>
          <w:p w:rsidR="00000000" w:rsidRPr="00472BCC" w:rsidP="00472BCC">
            <w:pPr>
              <w:pStyle w:val="ListBullet2"/>
            </w:pPr>
            <w:r w:rsidRPr="00472BCC">
              <w:t>work health and safety (WHS)</w:t>
            </w:r>
          </w:p>
          <w:p w:rsidR="00000000" w:rsidRPr="00472BCC" w:rsidP="00472BCC">
            <w:pPr>
              <w:pStyle w:val="ListBullet2"/>
            </w:pPr>
            <w:r w:rsidRPr="00472BCC">
              <w:t>Australian consumer law</w:t>
            </w:r>
          </w:p>
          <w:p w:rsidR="00000000" w:rsidRPr="00472BCC" w:rsidP="00472BCC">
            <w:pPr>
              <w:pStyle w:val="ListBullet2"/>
            </w:pPr>
            <w:r w:rsidRPr="00472BCC">
              <w:t>domestic and international law, conventions, agreements and legislation</w:t>
            </w:r>
          </w:p>
          <w:p w:rsidR="00000000" w:rsidRPr="00472BCC" w:rsidP="00472BCC">
            <w:pPr>
              <w:pStyle w:val="ListBullet"/>
            </w:pPr>
            <w:r w:rsidRPr="00472BCC">
              <w:t>remedies available for breach of contract</w:t>
            </w:r>
          </w:p>
          <w:p w:rsidR="00000000" w:rsidRPr="00472BCC" w:rsidP="00472BCC">
            <w:pPr>
              <w:pStyle w:val="ListBullet"/>
            </w:pPr>
            <w:r w:rsidRPr="00472BCC">
              <w:t>reporting requirements</w:t>
            </w:r>
          </w:p>
          <w:p w:rsidR="00000000" w:rsidRPr="00472BCC" w:rsidP="00472BCC">
            <w:pPr>
              <w:pStyle w:val="ListBullet"/>
            </w:pPr>
            <w:r w:rsidRPr="00472BCC">
              <w:t>business context, both national and international, in which the legal, insurance, rights and contractual sources of information apply</w:t>
            </w:r>
          </w:p>
        </w:tc>
      </w:tr>
    </w:tbl>
    <w:p w:rsidR="00000000" w:rsidRPr="00472BCC" w:rsidP="00472BCC">
      <w:pPr>
        <w:pStyle w:val="BodyText"/>
      </w:pPr>
    </w:p>
    <w:p w:rsidR="00000000" w:rsidRPr="00472BCC" w:rsidP="00472BCC">
      <w:pPr>
        <w:pStyle w:val="AllowPageBreak"/>
      </w:pPr>
    </w:p>
    <w:p w:rsidR="00000000" w:rsidRPr="00472BCC" w:rsidP="00472BCC">
      <w:pPr>
        <w:pStyle w:val="Heading1"/>
      </w:pPr>
      <w:bookmarkStart w:id="10" w:name="O_394286"/>
      <w:bookmarkEnd w:id="10"/>
      <w:r w:rsidRPr="00472BCC">
        <w:t>Evidence Guide</w:t>
      </w:r>
    </w:p>
    <w:tbl>
      <w:tblPr>
        <w:tblW w:w="9354" w:type="dxa"/>
        <w:tblLayout w:type="fixed"/>
        <w:tblCellMar>
          <w:left w:w="62" w:type="dxa"/>
          <w:right w:w="62" w:type="dxa"/>
        </w:tblCellMar>
        <w:tblLook w:val="0000"/>
      </w:tblPr>
      <w:tblGrid>
        <w:gridCol w:w="2586"/>
        <w:gridCol w:w="6768"/>
      </w:tblGrid>
      <w:tr w:rsidTr="00472BCC">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The evidence guide provides advice on assessment and must be read in conjunction with the performance criteria, required skills and knowledge, range statement and the Assessment Guidelines for the Training Package.</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Critical aspects for assessment and evi</w:t>
            </w:r>
            <w:r w:rsidRPr="00472BCC">
              <w:rPr>
                <w:rStyle w:val="SpecialBold"/>
              </w:rPr>
              <w:t>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BodyText"/>
            </w:pPr>
            <w:r w:rsidRPr="00472BCC">
              <w:t>Evidence of the following is essential:</w:t>
            </w:r>
          </w:p>
          <w:p w:rsidR="00000000" w:rsidRPr="00472BCC" w:rsidP="00472BCC">
            <w:pPr>
              <w:pStyle w:val="ListBullet"/>
            </w:pPr>
            <w:r w:rsidRPr="00472BCC">
              <w:t>completes tasks associated with management of a business operation in a satisfactory and timely manner and in compliance with legal and legislative requirements</w:t>
            </w:r>
          </w:p>
          <w:p w:rsidR="00000000" w:rsidRPr="00472BCC" w:rsidP="00472BCC">
            <w:pPr>
              <w:pStyle w:val="ListBullet"/>
            </w:pPr>
            <w:r w:rsidRPr="00472BCC">
              <w:t>uses relevant legal and statutory rights to protect the business brand and intellectual property</w:t>
            </w:r>
          </w:p>
          <w:p w:rsidR="00000000" w:rsidRPr="00472BCC" w:rsidP="00472BCC">
            <w:pPr>
              <w:pStyle w:val="ListBullet"/>
            </w:pPr>
            <w:r w:rsidRPr="00472BCC">
              <w:t>implements and documents product recall procedures for a business operation</w:t>
            </w:r>
          </w:p>
          <w:p w:rsidR="00000000" w:rsidRPr="00472BCC" w:rsidP="00472BCC">
            <w:pPr>
              <w:pStyle w:val="ListBullet"/>
            </w:pPr>
            <w:r w:rsidRPr="00472BCC">
              <w:t>describes and complies with legal rules relating to transfer of risk and legal obli</w:t>
            </w:r>
            <w:r w:rsidRPr="00472BCC">
              <w:t>gations affecting a specific range of business operations, including import and export operations</w:t>
            </w:r>
          </w:p>
          <w:p w:rsidR="00000000" w:rsidRPr="00472BCC" w:rsidP="00472BCC">
            <w:pPr>
              <w:pStyle w:val="ListBullet"/>
            </w:pPr>
            <w:r w:rsidRPr="00472BCC">
              <w:t>establishes and implements appropriate reporting procedures and record-keeping systems for a business operation</w:t>
            </w:r>
          </w:p>
          <w:p w:rsidR="00000000" w:rsidP="00472BCC">
            <w:pPr>
              <w:pStyle w:val="ListBullet"/>
              <w:rPr>
                <w:lang w:val="en-NZ"/>
              </w:rPr>
            </w:pPr>
            <w:r w:rsidRPr="00472BCC">
              <w:t>processes documentation relating to business a</w:t>
            </w:r>
            <w:r w:rsidRPr="00472BCC">
              <w:t>nd legal compliance within a set timeframe.</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BodyText"/>
            </w:pPr>
            <w:r w:rsidRPr="00472BCC">
              <w:t>Assessment must ensure access to:</w:t>
            </w:r>
          </w:p>
          <w:p w:rsidR="00000000" w:rsidRPr="00472BCC" w:rsidP="00472BCC">
            <w:pPr>
              <w:pStyle w:val="ListBullet"/>
            </w:pPr>
            <w:r w:rsidRPr="00472BCC">
              <w:t>a retail work environment</w:t>
            </w:r>
          </w:p>
          <w:p w:rsidR="00000000" w:rsidRPr="00472BCC" w:rsidP="00472BCC">
            <w:pPr>
              <w:pStyle w:val="ListBullet"/>
            </w:pPr>
            <w:r w:rsidRPr="00472BCC">
              <w:t>relevant documentation, such as:</w:t>
            </w:r>
          </w:p>
          <w:p w:rsidR="00000000" w:rsidRPr="00472BCC" w:rsidP="00472BCC">
            <w:pPr>
              <w:pStyle w:val="ListBullet2"/>
            </w:pPr>
            <w:r w:rsidRPr="00472BCC">
              <w:t>relevant legislation and statutory requirements</w:t>
            </w:r>
          </w:p>
          <w:p w:rsidR="00000000" w:rsidRPr="00472BCC" w:rsidP="00472BCC">
            <w:pPr>
              <w:pStyle w:val="ListBullet2"/>
            </w:pPr>
            <w:r w:rsidRPr="00472BCC">
              <w:t>information on the internal and external operating environment</w:t>
            </w:r>
          </w:p>
          <w:p w:rsidR="00000000" w:rsidRPr="00472BCC" w:rsidP="00472BCC">
            <w:pPr>
              <w:pStyle w:val="ListBullet2"/>
            </w:pPr>
            <w:r w:rsidRPr="00472BCC">
              <w:t>business policy and procedures manuals</w:t>
            </w:r>
          </w:p>
          <w:p w:rsidR="00000000" w:rsidRPr="00472BCC" w:rsidP="00472BCC">
            <w:pPr>
              <w:pStyle w:val="ListBullet"/>
            </w:pPr>
            <w:r w:rsidRPr="00472BCC">
              <w:t>information on:</w:t>
            </w:r>
          </w:p>
          <w:p w:rsidR="00000000" w:rsidRPr="00472BCC" w:rsidP="00472BCC">
            <w:pPr>
              <w:pStyle w:val="ListBullet2"/>
            </w:pPr>
            <w:r w:rsidRPr="00472BCC">
              <w:t>business operations</w:t>
            </w:r>
          </w:p>
          <w:p w:rsidR="00000000" w:rsidRPr="00472BCC" w:rsidP="00472BCC">
            <w:pPr>
              <w:pStyle w:val="ListBullet2"/>
            </w:pPr>
            <w:r w:rsidRPr="00472BCC">
              <w:t>markets</w:t>
            </w:r>
          </w:p>
          <w:p w:rsidR="00000000" w:rsidRPr="00472BCC" w:rsidP="00472BCC">
            <w:pPr>
              <w:pStyle w:val="ListBullet2"/>
            </w:pPr>
            <w:r w:rsidRPr="00472BCC">
              <w:t>competitors</w:t>
            </w:r>
          </w:p>
          <w:p w:rsidR="00000000" w:rsidRPr="00472BCC" w:rsidP="00472BCC">
            <w:pPr>
              <w:pStyle w:val="ListBullet2"/>
            </w:pPr>
            <w:r w:rsidRPr="00472BCC">
              <w:t>products and services</w:t>
            </w:r>
          </w:p>
          <w:p w:rsidR="00000000" w:rsidP="00472BCC">
            <w:pPr>
              <w:pStyle w:val="ListBullet2"/>
              <w:rPr>
                <w:lang w:val="en-NZ"/>
              </w:rPr>
            </w:pPr>
            <w:r w:rsidRPr="00472BCC">
              <w:t>suppliers.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BodyText"/>
            </w:pPr>
            <w:r w:rsidRPr="00472BCC">
              <w:t>A range of assessment methods should be used to assess practical skills and knowledge. The following examples are appropriate for this unit:</w:t>
            </w:r>
          </w:p>
          <w:p w:rsidR="00000000" w:rsidRPr="00472BCC" w:rsidP="00472BCC">
            <w:pPr>
              <w:pStyle w:val="ListBullet"/>
            </w:pPr>
            <w:r w:rsidRPr="00472BCC">
              <w:t>observation of performance in the workplace</w:t>
            </w:r>
          </w:p>
          <w:p w:rsidR="00000000" w:rsidRPr="00472BCC" w:rsidP="00472BCC">
            <w:pPr>
              <w:pStyle w:val="ListBullet"/>
            </w:pPr>
            <w:r w:rsidRPr="00472BCC">
              <w:t>third-party reports from a supervisor</w:t>
            </w:r>
          </w:p>
          <w:p w:rsidR="00000000" w:rsidRPr="00472BCC" w:rsidP="00472BCC">
            <w:pPr>
              <w:pStyle w:val="ListBullet"/>
            </w:pPr>
            <w:r w:rsidRPr="00472BCC">
              <w:t>review of portfolios of evidence</w:t>
            </w:r>
          </w:p>
          <w:p w:rsidR="00000000" w:rsidP="00472BCC">
            <w:pPr>
              <w:pStyle w:val="ListBullet"/>
              <w:rPr>
                <w:lang w:val="en-NZ"/>
              </w:rPr>
            </w:pPr>
            <w:r w:rsidRPr="00472BCC">
              <w:t>written or verbal questioning to assess knowledge and understanding.</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BodyText"/>
            </w:pPr>
            <w:r w:rsidRPr="00472BCC">
              <w:t>Holistic assessment with other units relevant to the industry sector, workplace and job role is recommended.</w:t>
            </w:r>
          </w:p>
        </w:tc>
      </w:tr>
    </w:tbl>
    <w:p w:rsidR="00000000" w:rsidRPr="00472BCC" w:rsidP="00472BCC">
      <w:pPr>
        <w:pStyle w:val="BodyText"/>
      </w:pPr>
    </w:p>
    <w:p w:rsidR="00000000" w:rsidRPr="00472BCC" w:rsidP="00472BCC">
      <w:pPr>
        <w:pStyle w:val="AllowPageBreak"/>
      </w:pPr>
    </w:p>
    <w:p w:rsidR="00000000" w:rsidRPr="00472BCC" w:rsidP="00472BCC">
      <w:pPr>
        <w:pStyle w:val="Heading1"/>
      </w:pPr>
      <w:bookmarkStart w:id="11" w:name="O_394287"/>
      <w:bookmarkEnd w:id="11"/>
      <w:r w:rsidRPr="00472BCC">
        <w:t>Range Statement</w:t>
      </w:r>
    </w:p>
    <w:tbl>
      <w:tblPr>
        <w:tblW w:w="9354" w:type="dxa"/>
        <w:tblLayout w:type="fixed"/>
        <w:tblCellMar>
          <w:left w:w="62" w:type="dxa"/>
          <w:right w:w="62" w:type="dxa"/>
        </w:tblCellMar>
        <w:tblLook w:val="0000"/>
      </w:tblPr>
      <w:tblGrid>
        <w:gridCol w:w="2586"/>
        <w:gridCol w:w="6768"/>
      </w:tblGrid>
      <w:tr w:rsidTr="00472BCC">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The r</w:t>
            </w:r>
            <w:r w:rsidRPr="00472BCC">
              <w:t>ange statement relates to the unit of competency as a whole. It allows for different work environments and situations that may affect performance. Bold italicised wording, if used in the performance criteria, is detailed below. Essential operating conditio</w:t>
            </w:r>
            <w:r w:rsidRPr="00472BCC">
              <w:t>ns that may be present with training and assessment (depending on the work situation, needs of the individual, accessibility of the item, and local industry and regional contexts) may also be included.</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Legal oversight systems</w:t>
            </w:r>
            <w:r w:rsidRPr="00472BCC">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Australian Competition and Consumer Commission provisions</w:t>
            </w:r>
          </w:p>
          <w:p w:rsidR="00000000" w:rsidRPr="00472BCC" w:rsidP="00472BCC">
            <w:pPr>
              <w:pStyle w:val="ListBullet"/>
            </w:pPr>
            <w:r w:rsidRPr="00472BCC">
              <w:t>contract law</w:t>
            </w:r>
          </w:p>
          <w:p w:rsidR="00000000" w:rsidRPr="00472BCC" w:rsidP="00472BCC">
            <w:pPr>
              <w:pStyle w:val="ListBullet"/>
            </w:pPr>
            <w:r w:rsidRPr="00472BCC">
              <w:t>environmental protection, and sustainability</w:t>
            </w:r>
          </w:p>
          <w:p w:rsidR="00000000" w:rsidRPr="00472BCC" w:rsidP="00472BCC">
            <w:pPr>
              <w:pStyle w:val="ListBullet"/>
            </w:pPr>
            <w:r w:rsidRPr="00472BCC">
              <w:t>EEO</w:t>
            </w:r>
          </w:p>
          <w:p w:rsidR="00000000" w:rsidRPr="00472BCC" w:rsidP="00472BCC">
            <w:pPr>
              <w:pStyle w:val="ListBullet"/>
            </w:pPr>
            <w:r w:rsidRPr="00472BCC">
              <w:t>industry codes of practice</w:t>
            </w:r>
          </w:p>
          <w:p w:rsidR="00000000" w:rsidRPr="00472BCC" w:rsidP="00472BCC">
            <w:pPr>
              <w:pStyle w:val="ListBullet"/>
            </w:pPr>
            <w:r w:rsidRPr="00472BCC">
              <w:t>licence, patent or copyright arrangements</w:t>
            </w:r>
          </w:p>
          <w:p w:rsidR="00000000" w:rsidRPr="00472BCC" w:rsidP="00472BCC">
            <w:pPr>
              <w:pStyle w:val="ListBullet"/>
            </w:pPr>
            <w:r w:rsidRPr="00472BCC">
              <w:t>WHS</w:t>
            </w:r>
          </w:p>
          <w:p w:rsidR="00000000" w:rsidRPr="00472BCC" w:rsidP="00472BCC">
            <w:pPr>
              <w:pStyle w:val="ListBullet"/>
            </w:pPr>
            <w:r w:rsidRPr="00472BCC">
              <w:t>Australian consumer law and fair trading Acts</w:t>
            </w:r>
          </w:p>
          <w:p w:rsidR="00000000" w:rsidRPr="00472BCC" w:rsidP="00472BCC">
            <w:pPr>
              <w:pStyle w:val="ListBullet"/>
            </w:pPr>
            <w:r w:rsidRPr="00472BCC">
              <w:t>transport, storag</w:t>
            </w:r>
            <w:r w:rsidRPr="00472BCC">
              <w:t>e and handling of goods</w:t>
            </w:r>
          </w:p>
          <w:p w:rsidR="00000000" w:rsidP="00472BCC">
            <w:pPr>
              <w:pStyle w:val="ListBullet"/>
              <w:rPr>
                <w:lang w:val="en-NZ"/>
              </w:rPr>
            </w:pPr>
            <w:r w:rsidRPr="00472BCC">
              <w:t>workplace relations.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Different forms of contract and agreements</w:t>
            </w:r>
            <w:r w:rsidRPr="00472BCC">
              <w:t xml:space="preserve"> may include or relate to:</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common-use arrangements or standing offers</w:t>
            </w:r>
          </w:p>
          <w:p w:rsidR="00000000" w:rsidRPr="00472BCC" w:rsidP="00472BCC">
            <w:pPr>
              <w:pStyle w:val="ListBullet"/>
            </w:pPr>
            <w:r w:rsidRPr="00472BCC">
              <w:t>consequences</w:t>
            </w:r>
          </w:p>
          <w:p w:rsidR="00000000" w:rsidRPr="00472BCC" w:rsidP="00472BCC">
            <w:pPr>
              <w:pStyle w:val="ListBullet"/>
            </w:pPr>
            <w:r w:rsidRPr="00472BCC">
              <w:t>contracts, including:</w:t>
            </w:r>
          </w:p>
          <w:p w:rsidR="00000000" w:rsidRPr="00472BCC" w:rsidP="00472BCC">
            <w:pPr>
              <w:pStyle w:val="ListBullet2"/>
            </w:pPr>
            <w:r w:rsidRPr="00472BCC">
              <w:t>contracts as detailed under the Australian consumer law</w:t>
            </w:r>
          </w:p>
          <w:p w:rsidR="00000000" w:rsidRPr="00472BCC" w:rsidP="00472BCC">
            <w:pPr>
              <w:pStyle w:val="ListBullet2"/>
            </w:pPr>
            <w:r w:rsidRPr="00472BCC">
              <w:t>external contracts</w:t>
            </w:r>
          </w:p>
          <w:p w:rsidR="00000000" w:rsidRPr="00472BCC" w:rsidP="00472BCC">
            <w:pPr>
              <w:pStyle w:val="ListBullet"/>
            </w:pPr>
            <w:r w:rsidRPr="00472BCC">
              <w:t>in-house service level agreements</w:t>
            </w:r>
          </w:p>
          <w:p w:rsidR="00000000" w:rsidRPr="00472BCC" w:rsidP="00472BCC">
            <w:pPr>
              <w:pStyle w:val="ListBullet"/>
            </w:pPr>
            <w:r w:rsidRPr="00472BCC">
              <w:t>letters of appointment or intent</w:t>
            </w:r>
          </w:p>
          <w:p w:rsidR="00000000" w:rsidRPr="00472BCC" w:rsidP="00472BCC">
            <w:pPr>
              <w:pStyle w:val="ListBullet"/>
            </w:pPr>
            <w:r w:rsidRPr="00472BCC">
              <w:t>memorandums of understanding or memorandums of agreement</w:t>
            </w:r>
          </w:p>
          <w:p w:rsidR="00000000" w:rsidRPr="00472BCC" w:rsidP="00472BCC">
            <w:pPr>
              <w:pStyle w:val="ListBullet"/>
            </w:pPr>
            <w:r w:rsidRPr="00472BCC">
              <w:t>non-compliance</w:t>
            </w:r>
          </w:p>
          <w:p w:rsidR="00000000" w:rsidRPr="00472BCC" w:rsidP="00472BCC">
            <w:pPr>
              <w:pStyle w:val="ListBullet"/>
            </w:pPr>
            <w:r w:rsidRPr="00472BCC">
              <w:t>people contracts</w:t>
            </w:r>
          </w:p>
          <w:p w:rsidR="00000000" w:rsidRPr="00472BCC" w:rsidP="00472BCC">
            <w:pPr>
              <w:pStyle w:val="ListBullet"/>
            </w:pPr>
            <w:r w:rsidRPr="00472BCC">
              <w:t>petty cash</w:t>
            </w:r>
          </w:p>
          <w:p w:rsidR="00000000" w:rsidRPr="00472BCC" w:rsidP="00472BCC">
            <w:pPr>
              <w:pStyle w:val="ListBullet"/>
            </w:pPr>
            <w:r w:rsidRPr="00472BCC">
              <w:t>purchase orders</w:t>
            </w:r>
          </w:p>
          <w:p w:rsidR="00000000" w:rsidRPr="00472BCC" w:rsidP="00472BCC">
            <w:pPr>
              <w:pStyle w:val="ListBullet"/>
            </w:pPr>
            <w:r w:rsidRPr="00472BCC">
              <w:t>trade partners</w:t>
            </w:r>
          </w:p>
          <w:p w:rsidR="00000000" w:rsidP="00472BCC">
            <w:pPr>
              <w:pStyle w:val="ListBullet"/>
              <w:rPr>
                <w:lang w:val="en-NZ"/>
              </w:rPr>
            </w:pPr>
            <w:r w:rsidRPr="00472BCC">
              <w:t>verbal and written orders.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Financial transactions</w:t>
            </w:r>
            <w:r w:rsidRPr="00472BCC">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cash on delivery (COD)</w:t>
            </w:r>
          </w:p>
          <w:p w:rsidR="00000000" w:rsidRPr="00472BCC" w:rsidP="00472BCC">
            <w:pPr>
              <w:pStyle w:val="ListBullet"/>
            </w:pPr>
            <w:r w:rsidRPr="00472BCC">
              <w:t>cheques</w:t>
            </w:r>
          </w:p>
          <w:p w:rsidR="00000000" w:rsidRPr="00472BCC" w:rsidP="00472BCC">
            <w:pPr>
              <w:pStyle w:val="ListBullet"/>
            </w:pPr>
            <w:r w:rsidRPr="00472BCC">
              <w:t>credit card transactions</w:t>
            </w:r>
          </w:p>
          <w:p w:rsidR="00000000" w:rsidRPr="00472BCC" w:rsidP="00472BCC">
            <w:pPr>
              <w:pStyle w:val="ListBullet"/>
            </w:pPr>
            <w:r w:rsidRPr="00472BCC">
              <w:t>customer account management</w:t>
            </w:r>
          </w:p>
          <w:p w:rsidR="00000000" w:rsidRPr="00472BCC" w:rsidP="00472BCC">
            <w:pPr>
              <w:pStyle w:val="ListBullet"/>
            </w:pPr>
            <w:r w:rsidRPr="00472BCC">
              <w:t>customer refunds</w:t>
            </w:r>
          </w:p>
          <w:p w:rsidR="00000000" w:rsidRPr="00472BCC" w:rsidP="00472BCC">
            <w:pPr>
              <w:pStyle w:val="ListBullet"/>
            </w:pPr>
            <w:r w:rsidRPr="00472BCC">
              <w:t>deposits</w:t>
            </w:r>
          </w:p>
          <w:p w:rsidR="00000000" w:rsidRPr="00472BCC" w:rsidP="00472BCC">
            <w:pPr>
              <w:pStyle w:val="ListBullet"/>
            </w:pPr>
            <w:r w:rsidRPr="00472BCC">
              <w:t>hire-purchase</w:t>
            </w:r>
          </w:p>
          <w:p w:rsidR="00000000" w:rsidP="00472BCC">
            <w:pPr>
              <w:pStyle w:val="ListBullet"/>
              <w:rPr>
                <w:lang w:val="en-NZ"/>
              </w:rPr>
            </w:pPr>
            <w:r w:rsidRPr="00472BCC">
              <w:t>withdrawals.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Legal requirements</w:t>
            </w:r>
            <w:r w:rsidRPr="00472BCC">
              <w:t xml:space="preserve"> for the sale of products and services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industry codes of practice</w:t>
            </w:r>
          </w:p>
          <w:p w:rsidR="00000000" w:rsidRPr="00472BCC" w:rsidP="00472BCC">
            <w:pPr>
              <w:pStyle w:val="ListBullet"/>
            </w:pPr>
            <w:r w:rsidRPr="00472BCC">
              <w:t>liquor laws</w:t>
            </w:r>
          </w:p>
          <w:p w:rsidR="00000000" w:rsidRPr="00472BCC" w:rsidP="00472BCC">
            <w:pPr>
              <w:pStyle w:val="ListBullet"/>
            </w:pPr>
            <w:r w:rsidRPr="00472BCC">
              <w:t>lottery legislation</w:t>
            </w:r>
          </w:p>
          <w:p w:rsidR="00000000" w:rsidRPr="00472BCC" w:rsidP="00472BCC">
            <w:pPr>
              <w:pStyle w:val="ListBullet"/>
            </w:pPr>
            <w:r w:rsidRPr="00472BCC">
              <w:t>WHS</w:t>
            </w:r>
          </w:p>
          <w:p w:rsidR="00000000" w:rsidRPr="00472BCC" w:rsidP="00472BCC">
            <w:pPr>
              <w:pStyle w:val="ListBullet"/>
            </w:pPr>
            <w:r w:rsidRPr="00472BCC">
              <w:t>pricing procedures, including GST requirements</w:t>
            </w:r>
          </w:p>
          <w:p w:rsidR="00000000" w:rsidRPr="00472BCC" w:rsidP="00472BCC">
            <w:pPr>
              <w:pStyle w:val="ListBullet"/>
            </w:pPr>
            <w:r w:rsidRPr="00472BCC">
              <w:t>sale of second-hand goods</w:t>
            </w:r>
          </w:p>
          <w:p w:rsidR="00000000" w:rsidRPr="00472BCC" w:rsidP="00472BCC">
            <w:pPr>
              <w:pStyle w:val="ListBullet"/>
            </w:pPr>
            <w:r w:rsidRPr="00472BCC">
              <w:t>sale of X and R-rated products</w:t>
            </w:r>
          </w:p>
          <w:p w:rsidR="00000000" w:rsidRPr="00472BCC" w:rsidP="00472BCC">
            <w:pPr>
              <w:pStyle w:val="ListBullet"/>
            </w:pPr>
            <w:r w:rsidRPr="00472BCC">
              <w:t>tobacco laws</w:t>
            </w:r>
          </w:p>
          <w:p w:rsidR="00000000" w:rsidP="00472BCC">
            <w:pPr>
              <w:pStyle w:val="ListBullet"/>
              <w:rPr>
                <w:lang w:val="en-NZ"/>
              </w:rPr>
            </w:pPr>
            <w:r w:rsidRPr="00472BCC">
              <w:t>Australian consumer law and fair trading Acts.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 xml:space="preserve">Product recall </w:t>
            </w:r>
            <w:r w:rsidRPr="00472BCC">
              <w:rPr>
                <w:rStyle w:val="BoldandItalics"/>
              </w:rPr>
              <w:t>procedures and guidelines</w:t>
            </w:r>
            <w:r w:rsidRPr="00472BCC">
              <w:t xml:space="preserve"> may be developed in consideration of:</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approvals obtained</w:t>
            </w:r>
          </w:p>
          <w:p w:rsidR="00000000" w:rsidRPr="00472BCC" w:rsidP="00472BCC">
            <w:pPr>
              <w:pStyle w:val="ListBullet"/>
            </w:pPr>
            <w:r w:rsidRPr="00472BCC">
              <w:t>claim procedures on recalled products</w:t>
            </w:r>
          </w:p>
          <w:p w:rsidR="00000000" w:rsidRPr="00472BCC" w:rsidP="00472BCC">
            <w:pPr>
              <w:pStyle w:val="ListBullet"/>
            </w:pPr>
            <w:r w:rsidRPr="00472BCC">
              <w:t>consultation with key stakeholders</w:t>
            </w:r>
          </w:p>
          <w:p w:rsidR="00000000" w:rsidRPr="00472BCC" w:rsidP="00472BCC">
            <w:pPr>
              <w:pStyle w:val="ListBullet"/>
            </w:pPr>
            <w:r w:rsidRPr="00472BCC">
              <w:t>impact on business relationships and contractual arrangements</w:t>
            </w:r>
          </w:p>
          <w:p w:rsidR="00000000" w:rsidRPr="00472BCC" w:rsidP="00472BCC">
            <w:pPr>
              <w:pStyle w:val="ListBullet"/>
            </w:pPr>
            <w:r w:rsidRPr="00472BCC">
              <w:t>insurance issues</w:t>
            </w:r>
          </w:p>
          <w:p w:rsidR="00000000" w:rsidRPr="00472BCC" w:rsidP="00472BCC">
            <w:pPr>
              <w:pStyle w:val="ListBullet"/>
            </w:pPr>
            <w:r w:rsidRPr="00472BCC">
              <w:t>legal requirements</w:t>
            </w:r>
          </w:p>
          <w:p w:rsidR="00000000" w:rsidRPr="00472BCC" w:rsidP="00472BCC">
            <w:pPr>
              <w:pStyle w:val="ListBullet"/>
            </w:pPr>
            <w:r w:rsidRPr="00472BCC">
              <w:t>o</w:t>
            </w:r>
            <w:r w:rsidRPr="00472BCC">
              <w:t>rganising logistics</w:t>
            </w:r>
          </w:p>
          <w:p w:rsidR="00000000" w:rsidRPr="00472BCC" w:rsidP="00472BCC">
            <w:pPr>
              <w:pStyle w:val="ListBullet"/>
            </w:pPr>
            <w:r w:rsidRPr="00472BCC">
              <w:t>reporting compliance</w:t>
            </w:r>
          </w:p>
          <w:p w:rsidR="00000000" w:rsidRPr="00472BCC" w:rsidP="00472BCC">
            <w:pPr>
              <w:pStyle w:val="ListBullet"/>
            </w:pPr>
            <w:r w:rsidRPr="00472BCC">
              <w:t>timing</w:t>
            </w:r>
          </w:p>
          <w:p w:rsidR="00000000" w:rsidP="00472BCC">
            <w:pPr>
              <w:pStyle w:val="ListBullet"/>
              <w:rPr>
                <w:lang w:val="en-NZ"/>
              </w:rPr>
            </w:pPr>
            <w:r w:rsidRPr="00472BCC">
              <w:t>warnings.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Procedures and guidelines</w:t>
            </w:r>
            <w:r w:rsidRPr="00472BCC">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customer-specific</w:t>
            </w:r>
          </w:p>
          <w:p w:rsidR="00000000" w:rsidRPr="00472BCC" w:rsidP="00472BCC">
            <w:pPr>
              <w:pStyle w:val="ListBullet"/>
            </w:pPr>
            <w:r w:rsidRPr="00472BCC">
              <w:t>documented in hard copy or electronic manuals</w:t>
            </w:r>
          </w:p>
          <w:p w:rsidR="00000000" w:rsidRPr="00472BCC" w:rsidP="00472BCC">
            <w:pPr>
              <w:pStyle w:val="ListBullet"/>
            </w:pPr>
            <w:r w:rsidRPr="00472BCC">
              <w:t>implemented at business, team or operational levels</w:t>
            </w:r>
          </w:p>
          <w:p w:rsidR="00000000" w:rsidRPr="00472BCC" w:rsidP="00472BCC">
            <w:pPr>
              <w:pStyle w:val="ListBullet"/>
            </w:pPr>
            <w:r w:rsidRPr="00472BCC">
              <w:t>product or service-specific</w:t>
            </w:r>
          </w:p>
          <w:p w:rsidR="00000000" w:rsidP="00472BCC">
            <w:pPr>
              <w:pStyle w:val="ListBullet"/>
              <w:rPr>
                <w:lang w:val="en-NZ"/>
              </w:rPr>
            </w:pPr>
            <w:r w:rsidRPr="00472BCC">
              <w:t>territory or location-specific.</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Relevant personnel</w:t>
            </w:r>
            <w:r w:rsidRPr="00472BCC">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employees</w:t>
            </w:r>
          </w:p>
          <w:p w:rsidR="00000000" w:rsidRPr="00472BCC" w:rsidP="00472BCC">
            <w:pPr>
              <w:pStyle w:val="ListBullet"/>
            </w:pPr>
            <w:r w:rsidRPr="00472BCC">
              <w:t>internal or external contacts</w:t>
            </w:r>
          </w:p>
          <w:p w:rsidR="00000000" w:rsidRPr="00472BCC" w:rsidP="00472BCC">
            <w:pPr>
              <w:pStyle w:val="ListBullet"/>
            </w:pPr>
            <w:r w:rsidRPr="00472BCC">
              <w:t>relevant managers</w:t>
            </w:r>
          </w:p>
          <w:p w:rsidR="00000000" w:rsidP="00472BCC">
            <w:pPr>
              <w:pStyle w:val="ListBullet"/>
              <w:rPr>
                <w:lang w:val="en-NZ"/>
              </w:rPr>
            </w:pPr>
            <w:r w:rsidRPr="00472BCC">
              <w:t>supervisors.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Staff</w:t>
            </w:r>
            <w:r w:rsidRPr="00472BCC">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full</w:t>
            </w:r>
            <w:r w:rsidRPr="00472BCC">
              <w:noBreakHyphen/>
              <w:t>time, part-time, casual or contract staff</w:t>
            </w:r>
          </w:p>
          <w:p w:rsidR="00000000" w:rsidRPr="00472BCC" w:rsidP="00472BCC">
            <w:pPr>
              <w:pStyle w:val="ListBullet"/>
            </w:pPr>
            <w:r w:rsidRPr="00472BCC">
              <w:t xml:space="preserve">people from a range of cultural, social and ethnic </w:t>
            </w:r>
            <w:r w:rsidRPr="00472BCC">
              <w:t>backgrounds</w:t>
            </w:r>
          </w:p>
          <w:p w:rsidR="00000000" w:rsidRPr="00472BCC" w:rsidP="00472BCC">
            <w:pPr>
              <w:pStyle w:val="ListBullet"/>
            </w:pPr>
            <w:r w:rsidRPr="00472BCC">
              <w:t>people with a range of responsibilities and job descriptions</w:t>
            </w:r>
          </w:p>
          <w:p w:rsidR="00000000" w:rsidP="00472BCC">
            <w:pPr>
              <w:pStyle w:val="ListBullet"/>
              <w:rPr>
                <w:lang w:val="en-NZ"/>
              </w:rPr>
            </w:pPr>
            <w:r w:rsidRPr="00472BCC">
              <w:t>people with varying degrees of language and literacy.</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t xml:space="preserve">Principles related to </w:t>
            </w:r>
            <w:r w:rsidRPr="00472BCC">
              <w:rPr>
                <w:rStyle w:val="BoldandItalics"/>
              </w:rPr>
              <w:t>intellectual property</w:t>
            </w:r>
            <w:r w:rsidRPr="00472BCC">
              <w:t xml:space="preserve"> may vary according to:</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ability to show ownership</w:t>
            </w:r>
          </w:p>
          <w:p w:rsidR="00000000" w:rsidRPr="00472BCC" w:rsidP="00472BCC">
            <w:pPr>
              <w:pStyle w:val="ListBullet"/>
            </w:pPr>
            <w:r w:rsidRPr="00472BCC">
              <w:t>legal and legislative provisions</w:t>
            </w:r>
          </w:p>
          <w:p w:rsidR="00000000" w:rsidRPr="00472BCC" w:rsidP="00472BCC">
            <w:pPr>
              <w:pStyle w:val="ListBullet"/>
            </w:pPr>
            <w:r w:rsidRPr="00472BCC">
              <w:t>location, for example, international variations in legal protection</w:t>
            </w:r>
          </w:p>
          <w:p w:rsidR="00000000" w:rsidRPr="00472BCC" w:rsidP="00472BCC">
            <w:pPr>
              <w:pStyle w:val="ListBullet"/>
            </w:pPr>
            <w:r w:rsidRPr="00472BCC">
              <w:t>nature of product or service delivery</w:t>
            </w:r>
          </w:p>
          <w:p w:rsidR="00000000" w:rsidRPr="00472BCC" w:rsidP="00472BCC">
            <w:pPr>
              <w:pStyle w:val="ListBullet"/>
            </w:pPr>
            <w:r w:rsidRPr="00472BCC">
              <w:t>nature of the product or service</w:t>
            </w:r>
          </w:p>
          <w:p w:rsidR="00000000" w:rsidP="00472BCC">
            <w:pPr>
              <w:pStyle w:val="ListBullet"/>
              <w:rPr>
                <w:lang w:val="en-NZ"/>
              </w:rPr>
            </w:pPr>
            <w:r w:rsidRPr="00472BCC">
              <w:t>scope of protection sought.</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Record</w:t>
            </w:r>
            <w:r w:rsidRPr="00472BCC">
              <w:t xml:space="preserve"> may refer to:</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asset registers</w:t>
            </w:r>
          </w:p>
          <w:p w:rsidR="00000000" w:rsidRPr="00472BCC" w:rsidP="00472BCC">
            <w:pPr>
              <w:pStyle w:val="ListBullet"/>
            </w:pPr>
            <w:r w:rsidRPr="00472BCC">
              <w:t>corporate credit card transaction statements</w:t>
            </w:r>
          </w:p>
          <w:p w:rsidR="00000000" w:rsidRPr="00472BCC" w:rsidP="00472BCC">
            <w:pPr>
              <w:pStyle w:val="ListBullet"/>
            </w:pPr>
            <w:r w:rsidRPr="00472BCC">
              <w:t>evaluation process documentation</w:t>
            </w:r>
          </w:p>
          <w:p w:rsidR="00000000" w:rsidRPr="00472BCC" w:rsidP="00472BCC">
            <w:pPr>
              <w:pStyle w:val="ListBullet"/>
            </w:pPr>
            <w:r w:rsidRPr="00472BCC">
              <w:t>financial statements</w:t>
            </w:r>
          </w:p>
          <w:p w:rsidR="00000000" w:rsidRPr="00472BCC" w:rsidP="00472BCC">
            <w:pPr>
              <w:pStyle w:val="ListBullet"/>
            </w:pPr>
            <w:r w:rsidRPr="00472BCC">
              <w:t>human resources files</w:t>
            </w:r>
          </w:p>
          <w:p w:rsidR="00000000" w:rsidRPr="00472BCC" w:rsidP="00472BCC">
            <w:pPr>
              <w:pStyle w:val="ListBullet"/>
            </w:pPr>
            <w:r w:rsidRPr="00472BCC">
              <w:t>invoices and payment requests</w:t>
            </w:r>
          </w:p>
          <w:p w:rsidR="00000000" w:rsidRPr="00472BCC" w:rsidP="00472BCC">
            <w:pPr>
              <w:pStyle w:val="ListBullet"/>
            </w:pPr>
            <w:r w:rsidRPr="00472BCC">
              <w:t>offer and contract documents</w:t>
            </w:r>
          </w:p>
          <w:p w:rsidR="00000000" w:rsidRPr="00472BCC" w:rsidP="00472BCC">
            <w:pPr>
              <w:pStyle w:val="ListBullet"/>
            </w:pPr>
            <w:r w:rsidRPr="00472BCC">
              <w:t>purchase requests and orders</w:t>
            </w:r>
          </w:p>
          <w:p w:rsidR="00000000" w:rsidRPr="00472BCC" w:rsidP="00472BCC">
            <w:pPr>
              <w:pStyle w:val="ListBullet"/>
            </w:pPr>
            <w:r w:rsidRPr="00472BCC">
              <w:t>records of authorised officers’ decisions</w:t>
            </w:r>
          </w:p>
          <w:p w:rsidR="00000000" w:rsidRPr="00472BCC" w:rsidP="00472BCC">
            <w:pPr>
              <w:pStyle w:val="ListBullet"/>
            </w:pPr>
            <w:r w:rsidRPr="00472BCC">
              <w:t>records of conversation</w:t>
            </w:r>
          </w:p>
          <w:p w:rsidR="00000000" w:rsidRPr="00472BCC" w:rsidP="00472BCC">
            <w:pPr>
              <w:pStyle w:val="ListBullet"/>
            </w:pPr>
            <w:r w:rsidRPr="00472BCC">
              <w:t>records of supplier performance</w:t>
            </w:r>
          </w:p>
          <w:p w:rsidR="00000000" w:rsidRPr="00472BCC" w:rsidP="00472BCC">
            <w:pPr>
              <w:pStyle w:val="ListBullet"/>
            </w:pPr>
            <w:r w:rsidRPr="00472BCC">
              <w:t>statements and petty cash vouchers</w:t>
            </w:r>
          </w:p>
          <w:p w:rsidR="00000000" w:rsidP="00472BCC">
            <w:pPr>
              <w:pStyle w:val="ListBullet"/>
              <w:rPr>
                <w:lang w:val="en-NZ"/>
              </w:rPr>
            </w:pPr>
            <w:r w:rsidRPr="00472BCC">
              <w:t>tender submissions and proposals.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Appropriate channels</w:t>
            </w:r>
            <w:r w:rsidRPr="00472BCC">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informal and formal meetings</w:t>
            </w:r>
          </w:p>
          <w:p w:rsidR="00000000" w:rsidRPr="00472BCC" w:rsidP="00472BCC">
            <w:pPr>
              <w:pStyle w:val="ListBullet"/>
            </w:pPr>
            <w:r w:rsidRPr="00472BCC">
              <w:t>presentations</w:t>
            </w:r>
          </w:p>
          <w:p w:rsidR="00000000" w:rsidRPr="00472BCC" w:rsidP="00472BCC">
            <w:pPr>
              <w:pStyle w:val="ListBullet"/>
            </w:pPr>
            <w:r w:rsidRPr="00472BCC">
              <w:t>verbal reports</w:t>
            </w:r>
          </w:p>
          <w:p w:rsidR="00000000" w:rsidP="00472BCC">
            <w:pPr>
              <w:pStyle w:val="ListBullet"/>
              <w:rPr>
                <w:lang w:val="en-NZ"/>
              </w:rPr>
            </w:pPr>
            <w:r w:rsidRPr="00472BCC">
              <w:t>written reports.</w:t>
            </w:r>
          </w:p>
        </w:tc>
      </w:tr>
      <w:tr w:rsidTr="00472BCC">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72BCC">
            <w:pPr>
              <w:pStyle w:val="BodyText"/>
              <w:rPr>
                <w:lang w:val="en-NZ"/>
              </w:rPr>
            </w:pPr>
            <w:r w:rsidRPr="00472BCC">
              <w:rPr>
                <w:rStyle w:val="BoldandItalics"/>
              </w:rPr>
              <w:t>Grievances or complaints</w:t>
            </w:r>
            <w:r w:rsidRPr="00472BCC">
              <w:t xml:space="preserve"> may be reported by:</w:t>
            </w:r>
          </w:p>
        </w:tc>
        <w:tc>
          <w:tcPr>
            <w:tcW w:w="6768" w:type="dxa"/>
            <w:tcBorders>
              <w:top w:val="nil"/>
              <w:left w:val="nil"/>
              <w:bottom w:val="nil"/>
              <w:right w:val="nil"/>
            </w:tcBorders>
            <w:tcMar>
              <w:top w:w="0" w:type="dxa"/>
              <w:left w:w="62" w:type="dxa"/>
              <w:bottom w:w="0" w:type="dxa"/>
              <w:right w:w="62" w:type="dxa"/>
            </w:tcMar>
          </w:tcPr>
          <w:p w:rsidR="00000000" w:rsidRPr="00472BCC" w:rsidP="00472BCC">
            <w:pPr>
              <w:pStyle w:val="ListBullet"/>
            </w:pPr>
            <w:r w:rsidRPr="00472BCC">
              <w:t>customers</w:t>
            </w:r>
          </w:p>
          <w:p w:rsidR="00000000" w:rsidRPr="00472BCC" w:rsidP="00472BCC">
            <w:pPr>
              <w:pStyle w:val="ListBullet"/>
            </w:pPr>
            <w:r w:rsidRPr="00472BCC">
              <w:t>management</w:t>
            </w:r>
          </w:p>
          <w:p w:rsidR="00000000" w:rsidRPr="00472BCC" w:rsidP="00472BCC">
            <w:pPr>
              <w:pStyle w:val="ListBullet"/>
            </w:pPr>
            <w:r w:rsidRPr="00472BCC">
              <w:t>staff</w:t>
            </w:r>
          </w:p>
          <w:p w:rsidR="00000000" w:rsidRPr="00472BCC" w:rsidP="00472BCC">
            <w:pPr>
              <w:pStyle w:val="ListBullet"/>
            </w:pPr>
            <w:r w:rsidRPr="00472BCC">
              <w:t>staff representatives.</w:t>
            </w:r>
          </w:p>
        </w:tc>
      </w:tr>
    </w:tbl>
    <w:p w:rsidR="00000000" w:rsidRPr="00472BCC" w:rsidP="00472BCC">
      <w:pPr>
        <w:pStyle w:val="BodyText"/>
      </w:pPr>
    </w:p>
    <w:p w:rsidR="00000000" w:rsidRPr="00472BCC" w:rsidP="00472BCC">
      <w:pPr>
        <w:pStyle w:val="AllowPageBreak"/>
      </w:pPr>
    </w:p>
    <w:p w:rsidR="00000000" w:rsidRPr="00472BCC" w:rsidP="00472BCC">
      <w:pPr>
        <w:pStyle w:val="Heading1"/>
      </w:pPr>
      <w:bookmarkStart w:id="12" w:name="O_394288"/>
      <w:bookmarkEnd w:id="12"/>
      <w:r w:rsidRPr="00472BCC">
        <w:t>Unit Sector(s)</w:t>
      </w:r>
    </w:p>
    <w:p w:rsidR="00000000" w:rsidRPr="00472BCC" w:rsidP="00472BCC">
      <w:pPr>
        <w:pStyle w:val="BodyText"/>
      </w:pPr>
      <w:r w:rsidRPr="00472BCC">
        <w:t>Cross-Sector</w:t>
      </w:r>
    </w:p>
    <w:p w:rsidR="00000000" w:rsidRPr="00472BCC" w:rsidP="00472BCC">
      <w:pPr>
        <w:pStyle w:val="AllowPageBreak"/>
      </w:pPr>
    </w:p>
    <w:p w:rsidR="00000000" w:rsidRPr="00472BCC" w:rsidP="00472BCC">
      <w:pPr>
        <w:pStyle w:val="Heading1"/>
      </w:pPr>
      <w:bookmarkStart w:id="13" w:name="O_394289"/>
      <w:bookmarkEnd w:id="13"/>
      <w:r w:rsidRPr="00472BCC">
        <w:t>Competency Field</w:t>
      </w:r>
    </w:p>
    <w:p w:rsidR="00000000" w:rsidRPr="00472BCC" w:rsidP="00472BCC">
      <w:pPr>
        <w:pStyle w:val="BodyText"/>
      </w:pPr>
      <w:r w:rsidRPr="00472BCC">
        <w:t>Governance and Legal Compliance</w:t>
      </w:r>
    </w:p>
    <w:p w:rsidR="00000000" w:rsidRPr="00472BCC" w:rsidP="00472BCC"/>
    <w:sectPr w:rsidSect="00472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886" w:rsidP="002878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86" w:rsidP="00472B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87886" w:rsidP="00472B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87886" w:rsidP="00472B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CC" w:rsidRPr="00287886" w:rsidP="002878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886" w:rsidP="00472BCC">
    <w:pPr>
      <w:pStyle w:val="Header"/>
      <w:framePr w:wrap="around"/>
    </w:pPr>
    <w:r>
      <w:fldChar w:fldCharType="begin"/>
    </w:r>
    <w:r>
      <w:instrText xml:space="preserve"> TITLE   \* MERGEFORMAT </w:instrText>
    </w:r>
    <w:r>
      <w:fldChar w:fldCharType="separate"/>
    </w:r>
    <w:r>
      <w:t>SIRXGLC502 Establish business legal and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287886" w:rsidP="00472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C8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CC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86A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BCC"/>
    <w:pPr>
      <w:spacing w:before="360" w:after="60"/>
      <w:outlineLvl w:val="0"/>
    </w:pPr>
    <w:rPr>
      <w:sz w:val="32"/>
    </w:rPr>
  </w:style>
  <w:style w:type="paragraph" w:styleId="Heading2">
    <w:name w:val="heading 2"/>
    <w:basedOn w:val="HeadingBase"/>
    <w:next w:val="BodyText"/>
    <w:link w:val="Heading2Char"/>
    <w:qFormat/>
    <w:rsid w:val="00472BCC"/>
    <w:pPr>
      <w:keepLines/>
      <w:spacing w:before="240" w:after="120"/>
      <w:outlineLvl w:val="1"/>
    </w:pPr>
    <w:rPr>
      <w:sz w:val="28"/>
      <w:szCs w:val="40"/>
    </w:rPr>
  </w:style>
  <w:style w:type="paragraph" w:styleId="Heading3">
    <w:name w:val="heading 3"/>
    <w:basedOn w:val="HeadingBase"/>
    <w:next w:val="BodyText"/>
    <w:link w:val="Heading3Char"/>
    <w:qFormat/>
    <w:rsid w:val="00472BCC"/>
    <w:pPr>
      <w:spacing w:before="180" w:after="120"/>
      <w:outlineLvl w:val="2"/>
    </w:pPr>
    <w:rPr>
      <w:spacing w:val="-10"/>
      <w:kern w:val="32"/>
    </w:rPr>
  </w:style>
  <w:style w:type="paragraph" w:styleId="Heading4">
    <w:name w:val="heading 4"/>
    <w:basedOn w:val="HeadingBase"/>
    <w:next w:val="BodyText"/>
    <w:link w:val="Heading4Char"/>
    <w:qFormat/>
    <w:rsid w:val="00472BCC"/>
    <w:pPr>
      <w:spacing w:before="160" w:after="120"/>
      <w:outlineLvl w:val="3"/>
    </w:pPr>
    <w:rPr>
      <w:sz w:val="22"/>
    </w:rPr>
  </w:style>
  <w:style w:type="paragraph" w:styleId="Heading5">
    <w:name w:val="heading 5"/>
    <w:basedOn w:val="HeadingBase"/>
    <w:next w:val="Normal"/>
    <w:link w:val="Heading5Char"/>
    <w:qFormat/>
    <w:rsid w:val="00472BCC"/>
    <w:pPr>
      <w:spacing w:before="80"/>
      <w:outlineLvl w:val="4"/>
    </w:pPr>
    <w:rPr>
      <w:color w:val="918585"/>
      <w:sz w:val="20"/>
    </w:rPr>
  </w:style>
  <w:style w:type="paragraph" w:styleId="Heading6">
    <w:name w:val="heading 6"/>
    <w:basedOn w:val="HeadingBase"/>
    <w:next w:val="Normal"/>
    <w:link w:val="Heading6Char"/>
    <w:qFormat/>
    <w:rsid w:val="00472BCC"/>
    <w:pPr>
      <w:spacing w:before="60"/>
      <w:outlineLvl w:val="5"/>
    </w:pPr>
    <w:rPr>
      <w:color w:val="918585"/>
      <w:sz w:val="20"/>
    </w:rPr>
  </w:style>
  <w:style w:type="paragraph" w:styleId="Heading7">
    <w:name w:val="heading 7"/>
    <w:basedOn w:val="Normal"/>
    <w:next w:val="Normal"/>
    <w:link w:val="Heading7Char"/>
    <w:qFormat/>
    <w:rsid w:val="00472BCC"/>
    <w:pPr>
      <w:ind w:left="720"/>
      <w:outlineLvl w:val="6"/>
    </w:pPr>
    <w:rPr>
      <w:i/>
    </w:rPr>
  </w:style>
  <w:style w:type="paragraph" w:styleId="Heading8">
    <w:name w:val="heading 8"/>
    <w:basedOn w:val="Normal"/>
    <w:next w:val="Normal"/>
    <w:link w:val="Heading8Char"/>
    <w:qFormat/>
    <w:rsid w:val="00472BCC"/>
    <w:pPr>
      <w:ind w:left="720"/>
      <w:outlineLvl w:val="7"/>
    </w:pPr>
    <w:rPr>
      <w:i/>
    </w:rPr>
  </w:style>
  <w:style w:type="paragraph" w:styleId="Heading9">
    <w:name w:val="heading 9"/>
    <w:basedOn w:val="Normal"/>
    <w:next w:val="Normal"/>
    <w:link w:val="Heading9Char"/>
    <w:qFormat/>
    <w:rsid w:val="00472BCC"/>
    <w:pPr>
      <w:ind w:left="720"/>
      <w:outlineLvl w:val="8"/>
    </w:pPr>
    <w:rPr>
      <w:i/>
    </w:rPr>
  </w:style>
  <w:style w:type="character" w:default="1" w:styleId="DefaultParagraphFont">
    <w:name w:val="Default Paragraph Font"/>
    <w:uiPriority w:val="1"/>
    <w:unhideWhenUsed/>
    <w:rsid w:val="00472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BCC"/>
  </w:style>
  <w:style w:type="character" w:customStyle="1" w:styleId="Heading1Char">
    <w:name w:val="Heading 1 Char"/>
    <w:basedOn w:val="DefaultParagraphFont"/>
    <w:link w:val="Heading1"/>
    <w:rsid w:val="00472BCC"/>
    <w:rPr>
      <w:rFonts w:ascii="Times New Roman" w:eastAsia="Times New Roman" w:hAnsi="Times New Roman" w:cs="Times New Roman"/>
      <w:b/>
      <w:sz w:val="32"/>
      <w:szCs w:val="20"/>
      <w:lang w:eastAsia="en-US"/>
    </w:rPr>
  </w:style>
  <w:style w:type="paragraph" w:styleId="BodyText">
    <w:name w:val="Body Text"/>
    <w:basedOn w:val="Normal"/>
    <w:link w:val="BodyTextChar"/>
    <w:rsid w:val="00472B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BCC"/>
    <w:rPr>
      <w:rFonts w:ascii="Times New Roman" w:eastAsia="Times New Roman" w:hAnsi="Times New Roman" w:cs="Times New Roman"/>
      <w:sz w:val="24"/>
      <w:lang w:eastAsia="en-US"/>
    </w:rPr>
  </w:style>
  <w:style w:type="paragraph" w:styleId="Footer">
    <w:name w:val="footer"/>
    <w:basedOn w:val="Normal"/>
    <w:link w:val="FooterChar"/>
    <w:rsid w:val="00472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BCC"/>
    <w:rPr>
      <w:rFonts w:ascii="Times New Roman" w:eastAsia="Times New Roman" w:hAnsi="Times New Roman" w:cs="Times New Roman"/>
      <w:sz w:val="16"/>
      <w:lang w:eastAsia="en-US"/>
    </w:rPr>
  </w:style>
  <w:style w:type="paragraph" w:styleId="List">
    <w:name w:val="List"/>
    <w:basedOn w:val="BodyText"/>
    <w:next w:val="BodyText"/>
    <w:rsid w:val="00472BCC"/>
    <w:pPr>
      <w:tabs>
        <w:tab w:val="left" w:pos="340"/>
      </w:tabs>
      <w:spacing w:before="60" w:after="60"/>
      <w:ind w:left="340" w:hanging="340"/>
    </w:pPr>
  </w:style>
  <w:style w:type="paragraph" w:styleId="ListBullet">
    <w:name w:val="List Bullet"/>
    <w:basedOn w:val="List"/>
    <w:rsid w:val="00472BCC"/>
    <w:pPr>
      <w:numPr>
        <w:numId w:val="13"/>
      </w:numPr>
      <w:tabs>
        <w:tab w:val="clear" w:pos="340"/>
      </w:tabs>
      <w:spacing w:before="40" w:after="40"/>
    </w:pPr>
  </w:style>
  <w:style w:type="character" w:customStyle="1" w:styleId="SpecialBold">
    <w:name w:val="Special Bold"/>
    <w:basedOn w:val="DefaultParagraphFont"/>
    <w:rsid w:val="00472BCC"/>
    <w:rPr>
      <w:b/>
      <w:spacing w:val="0"/>
    </w:rPr>
  </w:style>
  <w:style w:type="paragraph" w:styleId="ListBullet2">
    <w:name w:val="List Bullet 2"/>
    <w:basedOn w:val="List2"/>
    <w:rsid w:val="00472BCC"/>
    <w:pPr>
      <w:numPr>
        <w:numId w:val="14"/>
      </w:numPr>
      <w:tabs>
        <w:tab w:val="clear" w:pos="680"/>
      </w:tabs>
    </w:pPr>
  </w:style>
  <w:style w:type="paragraph" w:customStyle="1" w:styleId="SuperHeading">
    <w:name w:val="SuperHeading"/>
    <w:basedOn w:val="Normal"/>
    <w:rsid w:val="00472BCC"/>
    <w:pPr>
      <w:spacing w:before="240" w:after="120"/>
      <w:outlineLvl w:val="0"/>
    </w:pPr>
    <w:rPr>
      <w:rFonts w:ascii="Times New Roman" w:hAnsi="Times New Roman"/>
      <w:b/>
      <w:sz w:val="28"/>
    </w:rPr>
  </w:style>
  <w:style w:type="paragraph" w:customStyle="1" w:styleId="AllowPageBreak">
    <w:name w:val="AllowPageBreak"/>
    <w:rsid w:val="00472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2BCC"/>
    <w:rPr>
      <w:b/>
      <w:i/>
      <w:u w:val="none"/>
    </w:rPr>
  </w:style>
  <w:style w:type="character" w:customStyle="1" w:styleId="Heading2Char">
    <w:name w:val="Heading 2 Char"/>
    <w:basedOn w:val="DefaultParagraphFont"/>
    <w:link w:val="Heading2"/>
    <w:rsid w:val="00472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BCC"/>
    <w:rPr>
      <w:rFonts w:ascii="Courier New" w:eastAsia="Times New Roman" w:hAnsi="Courier New" w:cs="Times New Roman"/>
      <w:i/>
      <w:szCs w:val="20"/>
      <w:lang w:eastAsia="en-US"/>
    </w:rPr>
  </w:style>
  <w:style w:type="paragraph" w:customStyle="1" w:styleId="HeadingBase">
    <w:name w:val="Heading Base"/>
    <w:rsid w:val="00472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BCC"/>
    <w:pPr>
      <w:tabs>
        <w:tab w:val="right" w:leader="dot" w:pos="9072"/>
      </w:tabs>
      <w:ind w:left="567"/>
    </w:pPr>
    <w:rPr>
      <w:szCs w:val="22"/>
    </w:rPr>
  </w:style>
  <w:style w:type="paragraph" w:customStyle="1" w:styleId="TOCBase">
    <w:name w:val="TOC Base"/>
    <w:rsid w:val="00472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BCC"/>
    <w:pPr>
      <w:tabs>
        <w:tab w:val="right" w:leader="dot" w:pos="9072"/>
      </w:tabs>
      <w:spacing w:before="40" w:after="40"/>
      <w:ind w:left="284"/>
    </w:pPr>
    <w:rPr>
      <w:rFonts w:ascii="Times New Roman" w:hAnsi="Times New Roman"/>
    </w:rPr>
  </w:style>
  <w:style w:type="paragraph" w:styleId="TOC1">
    <w:name w:val="toc 1"/>
    <w:basedOn w:val="TOCBase"/>
    <w:next w:val="Normal"/>
    <w:rsid w:val="00472B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BCC"/>
    <w:pPr>
      <w:spacing w:before="5040"/>
      <w:jc w:val="center"/>
    </w:pPr>
    <w:rPr>
      <w:sz w:val="48"/>
      <w:szCs w:val="72"/>
      <w:lang w:val="en-US"/>
    </w:rPr>
  </w:style>
  <w:style w:type="character" w:customStyle="1" w:styleId="TitleChar">
    <w:name w:val="Title Char"/>
    <w:basedOn w:val="DefaultParagraphFont"/>
    <w:link w:val="Title"/>
    <w:rsid w:val="00472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BCC"/>
    <w:pPr>
      <w:tabs>
        <w:tab w:val="left" w:pos="3600"/>
        <w:tab w:val="left" w:pos="3958"/>
      </w:tabs>
    </w:pPr>
  </w:style>
  <w:style w:type="paragraph" w:customStyle="1" w:styleId="Note">
    <w:name w:val="Note"/>
    <w:basedOn w:val="BodyText"/>
    <w:rsid w:val="00472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BCC"/>
    <w:pPr>
      <w:framePr w:wrap="auto" w:hAnchor="text" w:y="6049"/>
    </w:pPr>
    <w:rPr>
      <w:color w:val="000000"/>
      <w:sz w:val="40"/>
    </w:rPr>
  </w:style>
  <w:style w:type="paragraph" w:customStyle="1" w:styleId="TOCTitle">
    <w:name w:val="TOCTitle"/>
    <w:basedOn w:val="Heading1"/>
    <w:rsid w:val="00472BCC"/>
    <w:pPr>
      <w:spacing w:after="240"/>
      <w:jc w:val="center"/>
      <w:outlineLvl w:val="9"/>
    </w:pPr>
    <w:rPr>
      <w:caps/>
    </w:rPr>
  </w:style>
  <w:style w:type="paragraph" w:customStyle="1" w:styleId="Version">
    <w:name w:val="Version"/>
    <w:rsid w:val="00472B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BCC"/>
    <w:pPr>
      <w:keepNext w:val="0"/>
      <w:tabs>
        <w:tab w:val="right" w:pos="4176"/>
      </w:tabs>
      <w:ind w:left="198" w:hanging="198"/>
    </w:pPr>
    <w:rPr>
      <w:rFonts w:ascii="Garamond" w:hAnsi="Garamond"/>
    </w:rPr>
  </w:style>
  <w:style w:type="paragraph" w:styleId="IndexHeading">
    <w:name w:val="index heading"/>
    <w:basedOn w:val="Normal"/>
    <w:next w:val="Index1"/>
    <w:semiHidden/>
    <w:rsid w:val="00472BCC"/>
    <w:pPr>
      <w:spacing w:before="120" w:after="120"/>
    </w:pPr>
    <w:rPr>
      <w:rFonts w:ascii="Arial" w:hAnsi="Arial"/>
      <w:b/>
      <w:color w:val="918585"/>
      <w:sz w:val="24"/>
    </w:rPr>
  </w:style>
  <w:style w:type="paragraph" w:styleId="Header">
    <w:name w:val="header"/>
    <w:basedOn w:val="Normal"/>
    <w:link w:val="HeaderChar"/>
    <w:rsid w:val="00472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BCC"/>
    <w:rPr>
      <w:rFonts w:ascii="Times New Roman" w:eastAsia="Times New Roman" w:hAnsi="Times New Roman" w:cs="Times New Roman"/>
      <w:sz w:val="16"/>
      <w:szCs w:val="20"/>
      <w:lang w:val="en-GB" w:eastAsia="en-US"/>
    </w:rPr>
  </w:style>
  <w:style w:type="paragraph" w:customStyle="1" w:styleId="Chapter">
    <w:name w:val="Chapter"/>
    <w:basedOn w:val="Normal"/>
    <w:rsid w:val="00472BCC"/>
    <w:pPr>
      <w:spacing w:before="240"/>
    </w:pPr>
    <w:rPr>
      <w:rFonts w:ascii="Times New Roman" w:hAnsi="Times New Roman"/>
      <w:smallCaps/>
      <w:spacing w:val="80"/>
      <w:sz w:val="28"/>
    </w:rPr>
  </w:style>
  <w:style w:type="paragraph" w:customStyle="1" w:styleId="InChapter">
    <w:name w:val="InChapter"/>
    <w:basedOn w:val="Heading3"/>
    <w:rsid w:val="00472BCC"/>
    <w:pPr>
      <w:spacing w:after="240"/>
      <w:outlineLvl w:val="9"/>
    </w:pPr>
    <w:rPr>
      <w:noProof/>
    </w:rPr>
  </w:style>
  <w:style w:type="paragraph" w:styleId="Index2">
    <w:name w:val="index 2"/>
    <w:basedOn w:val="Normal"/>
    <w:next w:val="Normal"/>
    <w:semiHidden/>
    <w:rsid w:val="00472BCC"/>
    <w:pPr>
      <w:tabs>
        <w:tab w:val="right" w:pos="4176"/>
      </w:tabs>
      <w:ind w:left="568" w:hanging="284"/>
    </w:pPr>
    <w:rPr>
      <w:rFonts w:ascii="Garamond" w:hAnsi="Garamond"/>
    </w:rPr>
  </w:style>
  <w:style w:type="paragraph" w:customStyle="1" w:styleId="Byline">
    <w:name w:val="Byline"/>
    <w:rsid w:val="00472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BCC"/>
    <w:pPr>
      <w:tabs>
        <w:tab w:val="clear" w:pos="3600"/>
        <w:tab w:val="clear" w:pos="3958"/>
      </w:tabs>
      <w:jc w:val="right"/>
    </w:pPr>
  </w:style>
  <w:style w:type="character" w:styleId="Emphasis">
    <w:name w:val="Emphasis"/>
    <w:basedOn w:val="DefaultParagraphFont"/>
    <w:qFormat/>
    <w:rsid w:val="00472BCC"/>
    <w:rPr>
      <w:i/>
    </w:rPr>
  </w:style>
  <w:style w:type="paragraph" w:styleId="Caption">
    <w:name w:val="caption"/>
    <w:basedOn w:val="BodyText"/>
    <w:next w:val="Normal"/>
    <w:qFormat/>
    <w:rsid w:val="00472BCC"/>
    <w:pPr>
      <w:framePr w:w="2268" w:hSpace="181" w:vSpace="181" w:wrap="around" w:vAnchor="text" w:hAnchor="page" w:x="1135" w:y="285" w:anchorLock="1"/>
    </w:pPr>
    <w:rPr>
      <w:i/>
    </w:rPr>
  </w:style>
  <w:style w:type="paragraph" w:customStyle="1" w:styleId="MiniTOCTitle">
    <w:name w:val="MiniTOCTitle"/>
    <w:basedOn w:val="Heading4"/>
    <w:rsid w:val="00472BCC"/>
    <w:pPr>
      <w:spacing w:before="240"/>
      <w:outlineLvl w:val="9"/>
    </w:pPr>
    <w:rPr>
      <w:noProof/>
      <w:sz w:val="24"/>
    </w:rPr>
  </w:style>
  <w:style w:type="paragraph" w:customStyle="1" w:styleId="MiniTOCItem">
    <w:name w:val="MiniTOCItem"/>
    <w:basedOn w:val="ListBullet"/>
    <w:rsid w:val="00472BCC"/>
    <w:pPr>
      <w:numPr>
        <w:numId w:val="0"/>
      </w:numPr>
      <w:tabs>
        <w:tab w:val="right" w:leader="dot" w:pos="6521"/>
      </w:tabs>
      <w:spacing w:before="0" w:after="0"/>
    </w:pPr>
  </w:style>
  <w:style w:type="paragraph" w:customStyle="1" w:styleId="TOFTitle">
    <w:name w:val="TOFTitle"/>
    <w:basedOn w:val="TOCTitle"/>
    <w:rsid w:val="00472BCC"/>
  </w:style>
  <w:style w:type="paragraph" w:styleId="TableofFigures">
    <w:name w:val="table of figures"/>
    <w:basedOn w:val="Normal"/>
    <w:next w:val="Normal"/>
    <w:semiHidden/>
    <w:rsid w:val="00472BCC"/>
    <w:pPr>
      <w:tabs>
        <w:tab w:val="right" w:leader="dot" w:pos="9072"/>
      </w:tabs>
      <w:ind w:left="970" w:hanging="403"/>
    </w:pPr>
    <w:rPr>
      <w:rFonts w:ascii="Times New Roman" w:hAnsi="Times New Roman"/>
      <w:b/>
    </w:rPr>
  </w:style>
  <w:style w:type="paragraph" w:styleId="ListNumber">
    <w:name w:val="List Number"/>
    <w:basedOn w:val="List"/>
    <w:rsid w:val="00472BCC"/>
    <w:pPr>
      <w:numPr>
        <w:numId w:val="11"/>
      </w:numPr>
    </w:pPr>
  </w:style>
  <w:style w:type="character" w:customStyle="1" w:styleId="WingdingSymbols">
    <w:name w:val="Wingding Symbols"/>
    <w:rsid w:val="00472BCC"/>
    <w:rPr>
      <w:rFonts w:ascii="Wingdings" w:hAnsi="Wingdings"/>
    </w:rPr>
  </w:style>
  <w:style w:type="paragraph" w:customStyle="1" w:styleId="TableHeading">
    <w:name w:val="Table Heading"/>
    <w:basedOn w:val="HeadingBase"/>
    <w:rsid w:val="00472BCC"/>
    <w:pPr>
      <w:keepLines/>
      <w:pBdr>
        <w:bottom w:val="single" w:sz="6" w:space="1" w:color="918585"/>
      </w:pBdr>
      <w:spacing w:before="240"/>
    </w:pPr>
  </w:style>
  <w:style w:type="character" w:customStyle="1" w:styleId="HotSpot">
    <w:name w:val="HotSpot"/>
    <w:rsid w:val="00472BCC"/>
    <w:rPr>
      <w:color w:val="0033CC"/>
      <w:u w:val="none"/>
    </w:rPr>
  </w:style>
  <w:style w:type="paragraph" w:customStyle="1" w:styleId="BodyTextRight">
    <w:name w:val="Body Text Right"/>
    <w:basedOn w:val="BodyText"/>
    <w:rsid w:val="00472BCC"/>
    <w:pPr>
      <w:spacing w:before="0" w:after="0"/>
      <w:jc w:val="right"/>
    </w:pPr>
  </w:style>
  <w:style w:type="paragraph" w:styleId="Index3">
    <w:name w:val="index 3"/>
    <w:basedOn w:val="ListNumber2"/>
    <w:next w:val="Normal"/>
    <w:semiHidden/>
    <w:rsid w:val="00472BCC"/>
    <w:pPr>
      <w:numPr>
        <w:numId w:val="0"/>
      </w:numPr>
      <w:tabs>
        <w:tab w:val="right" w:leader="dot" w:pos="4176"/>
      </w:tabs>
    </w:pPr>
  </w:style>
  <w:style w:type="paragraph" w:styleId="ListNumber2">
    <w:name w:val="List Number 2"/>
    <w:basedOn w:val="List2"/>
    <w:rsid w:val="00472BCC"/>
    <w:pPr>
      <w:numPr>
        <w:numId w:val="10"/>
      </w:numPr>
      <w:tabs>
        <w:tab w:val="clear" w:pos="1060"/>
      </w:tabs>
    </w:pPr>
  </w:style>
  <w:style w:type="paragraph" w:customStyle="1" w:styleId="MarginNote">
    <w:name w:val="Margin Note"/>
    <w:basedOn w:val="BodyText"/>
    <w:rsid w:val="00472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BCC"/>
    <w:rPr>
      <w:sz w:val="32"/>
    </w:rPr>
  </w:style>
  <w:style w:type="paragraph" w:customStyle="1" w:styleId="HeadingProcedure">
    <w:name w:val="Heading Procedure"/>
    <w:basedOn w:val="HeadingBase"/>
    <w:next w:val="Normal"/>
    <w:rsid w:val="00472BCC"/>
    <w:pPr>
      <w:tabs>
        <w:tab w:val="left" w:pos="0"/>
      </w:tabs>
      <w:spacing w:before="120" w:after="60"/>
    </w:pPr>
    <w:rPr>
      <w:i/>
      <w:color w:val="918585"/>
      <w:sz w:val="22"/>
    </w:rPr>
  </w:style>
  <w:style w:type="paragraph" w:customStyle="1" w:styleId="TableBodyText">
    <w:name w:val="Table Body Text"/>
    <w:basedOn w:val="BodyText"/>
    <w:rsid w:val="00472BCC"/>
    <w:pPr>
      <w:spacing w:before="60" w:after="60"/>
    </w:pPr>
  </w:style>
  <w:style w:type="paragraph" w:styleId="ListContinue">
    <w:name w:val="List Continue"/>
    <w:basedOn w:val="List"/>
    <w:rsid w:val="00472BCC"/>
    <w:pPr>
      <w:ind w:firstLine="0"/>
    </w:pPr>
  </w:style>
  <w:style w:type="paragraph" w:customStyle="1" w:styleId="ListNote">
    <w:name w:val="List Note"/>
    <w:basedOn w:val="List"/>
    <w:rsid w:val="00472BCC"/>
    <w:pPr>
      <w:pBdr>
        <w:top w:val="single" w:sz="6" w:space="2" w:color="918585"/>
        <w:bottom w:val="single" w:sz="6" w:space="2" w:color="918585"/>
      </w:pBdr>
      <w:tabs>
        <w:tab w:val="left" w:pos="1021"/>
      </w:tabs>
      <w:ind w:firstLine="0"/>
    </w:pPr>
  </w:style>
  <w:style w:type="paragraph" w:customStyle="1" w:styleId="Warning">
    <w:name w:val="Warning"/>
    <w:basedOn w:val="BodyText"/>
    <w:rsid w:val="00472BCC"/>
    <w:pPr>
      <w:shd w:val="clear" w:color="auto" w:fill="D9D9D9"/>
      <w:tabs>
        <w:tab w:val="left" w:pos="992"/>
      </w:tabs>
      <w:ind w:left="119" w:right="119"/>
    </w:pPr>
    <w:rPr>
      <w:sz w:val="20"/>
    </w:rPr>
  </w:style>
  <w:style w:type="paragraph" w:customStyle="1" w:styleId="MarginIcons">
    <w:name w:val="Margin Icons"/>
    <w:basedOn w:val="BodyText"/>
    <w:rsid w:val="00472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BCC"/>
    <w:rPr>
      <w:rFonts w:ascii="Courier New" w:hAnsi="Courier New"/>
    </w:rPr>
  </w:style>
  <w:style w:type="paragraph" w:customStyle="1" w:styleId="NoteBullet">
    <w:name w:val="Note Bullet"/>
    <w:basedOn w:val="Note"/>
    <w:rsid w:val="00472BCC"/>
    <w:pPr>
      <w:tabs>
        <w:tab w:val="clear" w:pos="680"/>
      </w:tabs>
      <w:spacing w:before="60" w:after="60"/>
    </w:pPr>
  </w:style>
  <w:style w:type="paragraph" w:customStyle="1" w:styleId="SubHeading2">
    <w:name w:val="SubHeading2"/>
    <w:basedOn w:val="HeadingBase"/>
    <w:rsid w:val="00472BCC"/>
    <w:pPr>
      <w:spacing w:before="240" w:after="60"/>
    </w:pPr>
    <w:rPr>
      <w:sz w:val="20"/>
    </w:rPr>
  </w:style>
  <w:style w:type="paragraph" w:customStyle="1" w:styleId="SubHeading1">
    <w:name w:val="SubHeading1"/>
    <w:basedOn w:val="HeadingBase"/>
    <w:rsid w:val="00472BCC"/>
    <w:pPr>
      <w:spacing w:before="240" w:after="60"/>
    </w:pPr>
    <w:rPr>
      <w:color w:val="918585"/>
      <w:sz w:val="22"/>
    </w:rPr>
  </w:style>
  <w:style w:type="paragraph" w:customStyle="1" w:styleId="SideHeading">
    <w:name w:val="Side Heading"/>
    <w:basedOn w:val="HeadingBase"/>
    <w:rsid w:val="00472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BCC"/>
    <w:pPr>
      <w:numPr>
        <w:numId w:val="12"/>
      </w:numPr>
    </w:pPr>
  </w:style>
  <w:style w:type="paragraph" w:styleId="PlainText">
    <w:name w:val="Plain Text"/>
    <w:basedOn w:val="Normal"/>
    <w:link w:val="PlainTextChar"/>
    <w:rsid w:val="00472BCC"/>
    <w:rPr>
      <w:sz w:val="20"/>
    </w:rPr>
  </w:style>
  <w:style w:type="character" w:customStyle="1" w:styleId="PlainTextChar">
    <w:name w:val="Plain Text Char"/>
    <w:basedOn w:val="DefaultParagraphFont"/>
    <w:link w:val="PlainText"/>
    <w:rsid w:val="00472BCC"/>
    <w:rPr>
      <w:rFonts w:ascii="Courier New" w:eastAsia="Times New Roman" w:hAnsi="Courier New" w:cs="Times New Roman"/>
      <w:sz w:val="20"/>
      <w:szCs w:val="20"/>
      <w:lang w:eastAsia="en-US"/>
    </w:rPr>
  </w:style>
  <w:style w:type="character" w:customStyle="1" w:styleId="MenuOption">
    <w:name w:val="Menu Option"/>
    <w:basedOn w:val="DefaultParagraphFont"/>
    <w:rsid w:val="00472BCC"/>
    <w:rPr>
      <w:b/>
      <w:smallCaps/>
    </w:rPr>
  </w:style>
  <w:style w:type="paragraph" w:customStyle="1" w:styleId="TableListNumber">
    <w:name w:val="Table List Number"/>
    <w:basedOn w:val="ListNumber"/>
    <w:rsid w:val="00472BCC"/>
    <w:pPr>
      <w:numPr>
        <w:numId w:val="0"/>
      </w:numPr>
    </w:pPr>
  </w:style>
  <w:style w:type="paragraph" w:styleId="TOC4">
    <w:name w:val="toc 4"/>
    <w:basedOn w:val="TOCBase"/>
    <w:next w:val="Normal"/>
    <w:semiHidden/>
    <w:rsid w:val="00472BCC"/>
    <w:pPr>
      <w:tabs>
        <w:tab w:val="right" w:leader="dot" w:pos="9071"/>
      </w:tabs>
      <w:ind w:left="1701"/>
    </w:pPr>
  </w:style>
  <w:style w:type="paragraph" w:customStyle="1" w:styleId="ListAlpha">
    <w:name w:val="List Alpha"/>
    <w:basedOn w:val="List"/>
    <w:rsid w:val="00472BCC"/>
    <w:pPr>
      <w:numPr>
        <w:numId w:val="9"/>
      </w:numPr>
    </w:pPr>
  </w:style>
  <w:style w:type="paragraph" w:customStyle="1" w:styleId="ListAlpha2">
    <w:name w:val="List Alpha 2"/>
    <w:basedOn w:val="List2"/>
    <w:rsid w:val="00472BCC"/>
    <w:pPr>
      <w:numPr>
        <w:numId w:val="8"/>
      </w:numPr>
    </w:pPr>
  </w:style>
  <w:style w:type="paragraph" w:styleId="List2">
    <w:name w:val="List 2"/>
    <w:basedOn w:val="BodyText"/>
    <w:rsid w:val="00472BCC"/>
    <w:pPr>
      <w:tabs>
        <w:tab w:val="left" w:pos="680"/>
      </w:tabs>
      <w:spacing w:before="60" w:after="60"/>
      <w:ind w:left="680" w:hanging="340"/>
    </w:pPr>
  </w:style>
  <w:style w:type="paragraph" w:styleId="List3">
    <w:name w:val="List 3"/>
    <w:basedOn w:val="BodyText"/>
    <w:rsid w:val="00472BCC"/>
    <w:pPr>
      <w:tabs>
        <w:tab w:val="left" w:pos="1021"/>
      </w:tabs>
      <w:spacing w:before="60" w:after="60"/>
      <w:ind w:left="1020" w:hanging="340"/>
    </w:pPr>
  </w:style>
  <w:style w:type="paragraph" w:styleId="List4">
    <w:name w:val="List 4"/>
    <w:basedOn w:val="BodyText"/>
    <w:rsid w:val="00472BCC"/>
    <w:pPr>
      <w:tabs>
        <w:tab w:val="left" w:pos="1361"/>
      </w:tabs>
      <w:spacing w:before="60" w:after="60"/>
      <w:ind w:left="1361" w:hanging="340"/>
    </w:pPr>
  </w:style>
  <w:style w:type="paragraph" w:styleId="List5">
    <w:name w:val="List 5"/>
    <w:basedOn w:val="BodyText"/>
    <w:rsid w:val="00472BCC"/>
    <w:pPr>
      <w:tabs>
        <w:tab w:val="left" w:pos="1701"/>
      </w:tabs>
      <w:spacing w:before="60" w:after="60"/>
      <w:ind w:left="1701" w:hanging="340"/>
    </w:pPr>
  </w:style>
  <w:style w:type="paragraph" w:styleId="ListBullet3">
    <w:name w:val="List Bullet 3"/>
    <w:basedOn w:val="List3"/>
    <w:rsid w:val="00472BCC"/>
    <w:pPr>
      <w:numPr>
        <w:numId w:val="15"/>
      </w:numPr>
      <w:tabs>
        <w:tab w:val="clear" w:pos="1021"/>
      </w:tabs>
      <w:ind w:left="1037" w:hanging="357"/>
    </w:pPr>
  </w:style>
  <w:style w:type="paragraph" w:styleId="ListBullet4">
    <w:name w:val="List Bullet 4"/>
    <w:basedOn w:val="List4"/>
    <w:rsid w:val="00472BCC"/>
    <w:pPr>
      <w:numPr>
        <w:numId w:val="3"/>
      </w:numPr>
    </w:pPr>
  </w:style>
  <w:style w:type="paragraph" w:styleId="ListBullet5">
    <w:name w:val="List Bullet 5"/>
    <w:basedOn w:val="List5"/>
    <w:rsid w:val="00472BCC"/>
    <w:pPr>
      <w:numPr>
        <w:numId w:val="4"/>
      </w:numPr>
    </w:pPr>
  </w:style>
  <w:style w:type="paragraph" w:styleId="ListContinue2">
    <w:name w:val="List Continue 2"/>
    <w:basedOn w:val="List2"/>
    <w:rsid w:val="00472BCC"/>
    <w:pPr>
      <w:ind w:firstLine="0"/>
    </w:pPr>
  </w:style>
  <w:style w:type="paragraph" w:styleId="ListContinue3">
    <w:name w:val="List Continue 3"/>
    <w:basedOn w:val="List3"/>
    <w:rsid w:val="00472BCC"/>
    <w:pPr>
      <w:ind w:left="1021" w:firstLine="0"/>
    </w:pPr>
  </w:style>
  <w:style w:type="paragraph" w:styleId="ListContinue4">
    <w:name w:val="List Continue 4"/>
    <w:basedOn w:val="List4"/>
    <w:rsid w:val="00472BCC"/>
    <w:pPr>
      <w:ind w:firstLine="0"/>
    </w:pPr>
  </w:style>
  <w:style w:type="paragraph" w:styleId="ListContinue5">
    <w:name w:val="List Continue 5"/>
    <w:basedOn w:val="List5"/>
    <w:rsid w:val="00472BCC"/>
    <w:pPr>
      <w:ind w:firstLine="0"/>
    </w:pPr>
  </w:style>
  <w:style w:type="paragraph" w:styleId="ListNumber3">
    <w:name w:val="List Number 3"/>
    <w:basedOn w:val="List3"/>
    <w:rsid w:val="00472BCC"/>
    <w:pPr>
      <w:numPr>
        <w:numId w:val="5"/>
      </w:numPr>
    </w:pPr>
  </w:style>
  <w:style w:type="paragraph" w:styleId="ListNumber4">
    <w:name w:val="List Number 4"/>
    <w:basedOn w:val="List4"/>
    <w:rsid w:val="00472BCC"/>
    <w:pPr>
      <w:numPr>
        <w:numId w:val="6"/>
      </w:numPr>
    </w:pPr>
  </w:style>
  <w:style w:type="paragraph" w:styleId="ListNumber5">
    <w:name w:val="List Number 5"/>
    <w:basedOn w:val="List5"/>
    <w:rsid w:val="00472BCC"/>
    <w:pPr>
      <w:numPr>
        <w:numId w:val="7"/>
      </w:numPr>
    </w:pPr>
  </w:style>
  <w:style w:type="paragraph" w:styleId="BlockText">
    <w:name w:val="Block Text"/>
    <w:basedOn w:val="Normal"/>
    <w:rsid w:val="00472BCC"/>
    <w:pPr>
      <w:spacing w:after="120"/>
      <w:ind w:left="1440" w:right="1440"/>
    </w:pPr>
  </w:style>
  <w:style w:type="character" w:customStyle="1" w:styleId="Subscript">
    <w:name w:val="Subscript"/>
    <w:basedOn w:val="DefaultParagraphFont"/>
    <w:rsid w:val="00472BCC"/>
    <w:rPr>
      <w:sz w:val="16"/>
      <w:vertAlign w:val="subscript"/>
    </w:rPr>
  </w:style>
  <w:style w:type="character" w:customStyle="1" w:styleId="Superscript">
    <w:name w:val="Superscript"/>
    <w:basedOn w:val="DefaultParagraphFont"/>
    <w:rsid w:val="00472BCC"/>
    <w:rPr>
      <w:sz w:val="16"/>
      <w:vertAlign w:val="superscript"/>
    </w:rPr>
  </w:style>
  <w:style w:type="character" w:customStyle="1" w:styleId="Symbols">
    <w:name w:val="Symbols"/>
    <w:basedOn w:val="DefaultParagraphFont"/>
    <w:rsid w:val="00472BCC"/>
    <w:rPr>
      <w:rFonts w:ascii="Symbol" w:hAnsi="Symbol"/>
    </w:rPr>
  </w:style>
  <w:style w:type="character" w:customStyle="1" w:styleId="MenuOptions">
    <w:name w:val="Menu Options"/>
    <w:basedOn w:val="DefaultParagraphFont"/>
    <w:rsid w:val="00472BCC"/>
    <w:rPr>
      <w:rFonts w:ascii="Arial Narrow" w:hAnsi="Arial Narrow"/>
      <w:smallCaps/>
    </w:rPr>
  </w:style>
  <w:style w:type="character" w:customStyle="1" w:styleId="Buttons">
    <w:name w:val="Buttons"/>
    <w:basedOn w:val="DefaultParagraphFont"/>
    <w:rsid w:val="00472BCC"/>
    <w:rPr>
      <w:b/>
    </w:rPr>
  </w:style>
  <w:style w:type="character" w:customStyle="1" w:styleId="Underlined">
    <w:name w:val="Underlined"/>
    <w:basedOn w:val="DefaultParagraphFont"/>
    <w:rsid w:val="00472BCC"/>
    <w:rPr>
      <w:u w:val="single"/>
    </w:rPr>
  </w:style>
  <w:style w:type="paragraph" w:customStyle="1" w:styleId="TableBodyTextRight">
    <w:name w:val="Table Body Text Right"/>
    <w:basedOn w:val="TableBodyText"/>
    <w:rsid w:val="00472BCC"/>
    <w:pPr>
      <w:widowControl w:val="0"/>
      <w:autoSpaceDE w:val="0"/>
      <w:autoSpaceDN w:val="0"/>
      <w:adjustRightInd w:val="0"/>
      <w:jc w:val="right"/>
    </w:pPr>
    <w:rPr>
      <w:rFonts w:cs="Arial"/>
      <w:szCs w:val="18"/>
    </w:rPr>
  </w:style>
  <w:style w:type="paragraph" w:customStyle="1" w:styleId="CopyrightText">
    <w:name w:val="Copyright Text"/>
    <w:basedOn w:val="BodyText"/>
    <w:rsid w:val="00472BCC"/>
    <w:rPr>
      <w:sz w:val="18"/>
    </w:rPr>
  </w:style>
  <w:style w:type="paragraph" w:customStyle="1" w:styleId="BodySmallRight">
    <w:name w:val="Body Small Right"/>
    <w:basedOn w:val="BodyTextRight"/>
    <w:rsid w:val="00472BCC"/>
    <w:rPr>
      <w:sz w:val="18"/>
      <w:szCs w:val="18"/>
    </w:rPr>
  </w:style>
  <w:style w:type="paragraph" w:customStyle="1" w:styleId="MarginEdition">
    <w:name w:val="Margin Edition"/>
    <w:basedOn w:val="MarginNote"/>
    <w:rsid w:val="00472BCC"/>
    <w:pPr>
      <w:spacing w:before="0" w:after="0"/>
    </w:pPr>
    <w:rPr>
      <w:rFonts w:ascii="Times New Roman" w:hAnsi="Times New Roman"/>
      <w:color w:val="999999"/>
    </w:rPr>
  </w:style>
  <w:style w:type="paragraph" w:customStyle="1" w:styleId="Spacer">
    <w:name w:val="Spacer"/>
    <w:basedOn w:val="Normal"/>
    <w:rsid w:val="00472BCC"/>
    <w:rPr>
      <w:sz w:val="2"/>
      <w:szCs w:val="2"/>
    </w:rPr>
  </w:style>
  <w:style w:type="character" w:customStyle="1" w:styleId="Small">
    <w:name w:val="Small"/>
    <w:basedOn w:val="DefaultParagraphFont"/>
    <w:rsid w:val="00472BCC"/>
    <w:rPr>
      <w:sz w:val="16"/>
    </w:rPr>
  </w:style>
  <w:style w:type="paragraph" w:customStyle="1" w:styleId="WideTable">
    <w:name w:val="Wide Table"/>
    <w:basedOn w:val="Normal"/>
    <w:rsid w:val="00472BCC"/>
    <w:pPr>
      <w:ind w:left="-1418"/>
    </w:pPr>
    <w:rPr>
      <w:sz w:val="2"/>
      <w:szCs w:val="2"/>
    </w:rPr>
  </w:style>
  <w:style w:type="character" w:styleId="PageNumber">
    <w:name w:val="page number"/>
    <w:basedOn w:val="DefaultParagraphFont"/>
    <w:rsid w:val="00472BCC"/>
  </w:style>
  <w:style w:type="paragraph" w:styleId="Quote">
    <w:name w:val="Quote"/>
    <w:basedOn w:val="Heading1"/>
    <w:link w:val="QuoteChar"/>
    <w:qFormat/>
    <w:rsid w:val="00472BCC"/>
    <w:rPr>
      <w:b w:val="0"/>
      <w:sz w:val="72"/>
      <w:szCs w:val="72"/>
      <w:lang w:val="en-NZ"/>
    </w:rPr>
  </w:style>
  <w:style w:type="character" w:customStyle="1" w:styleId="QuoteChar">
    <w:name w:val="Quote Char"/>
    <w:basedOn w:val="DefaultParagraphFont"/>
    <w:link w:val="Quote"/>
    <w:rsid w:val="00472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BCC"/>
    <w:pPr>
      <w:pageBreakBefore/>
    </w:pPr>
  </w:style>
  <w:style w:type="paragraph" w:customStyle="1" w:styleId="Border">
    <w:name w:val="Border"/>
    <w:basedOn w:val="Normal"/>
    <w:qFormat/>
    <w:rsid w:val="00472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BCC"/>
    <w:rPr>
      <w:b/>
      <w:bCs/>
      <w:i/>
      <w:iCs/>
      <w:color w:val="auto"/>
    </w:rPr>
  </w:style>
  <w:style w:type="paragraph" w:styleId="IntenseQuote">
    <w:name w:val="Intense Quote"/>
    <w:basedOn w:val="Normal"/>
    <w:next w:val="Normal"/>
    <w:link w:val="IntenseQuoteChar"/>
    <w:uiPriority w:val="30"/>
    <w:qFormat/>
    <w:rsid w:val="00472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BCC"/>
    <w:rPr>
      <w:smallCaps/>
      <w:color w:val="auto"/>
      <w:u w:val="single"/>
    </w:rPr>
  </w:style>
  <w:style w:type="character" w:styleId="IntenseReference">
    <w:name w:val="Intense Reference"/>
    <w:basedOn w:val="DefaultParagraphFont"/>
    <w:uiPriority w:val="32"/>
    <w:qFormat/>
    <w:rsid w:val="00472BCC"/>
    <w:rPr>
      <w:b/>
      <w:bCs/>
      <w:smallCaps/>
      <w:color w:val="auto"/>
      <w:spacing w:val="5"/>
      <w:u w:val="single"/>
    </w:rPr>
  </w:style>
  <w:style w:type="paragraph" w:customStyle="1" w:styleId="2ColumnHeading">
    <w:name w:val="2Column Heading"/>
    <w:basedOn w:val="BodyText"/>
    <w:qFormat/>
    <w:rsid w:val="00472BCC"/>
    <w:pPr>
      <w:spacing w:after="60"/>
      <w:ind w:left="-2268"/>
    </w:pPr>
    <w:rPr>
      <w:b/>
    </w:rPr>
  </w:style>
  <w:style w:type="paragraph" w:customStyle="1" w:styleId="Heading1TOC">
    <w:name w:val="Heading1 TOC"/>
    <w:basedOn w:val="Normal"/>
    <w:qFormat/>
    <w:rsid w:val="00472BCC"/>
    <w:pPr>
      <w:spacing w:before="240" w:after="120"/>
    </w:pPr>
    <w:rPr>
      <w:rFonts w:ascii="Times New Roman" w:hAnsi="Times New Roman"/>
      <w:b/>
      <w:sz w:val="32"/>
    </w:rPr>
  </w:style>
  <w:style w:type="paragraph" w:customStyle="1" w:styleId="Heading2TOC">
    <w:name w:val="Heading2 TOC"/>
    <w:basedOn w:val="Normal"/>
    <w:qFormat/>
    <w:rsid w:val="00472BCC"/>
    <w:pPr>
      <w:spacing w:before="240" w:after="60"/>
    </w:pPr>
    <w:rPr>
      <w:rFonts w:ascii="Times New Roman" w:hAnsi="Times New Roman"/>
      <w:b/>
      <w:sz w:val="28"/>
    </w:rPr>
  </w:style>
  <w:style w:type="character" w:customStyle="1" w:styleId="Underline">
    <w:name w:val="Underline"/>
    <w:basedOn w:val="DefaultParagraphFont"/>
    <w:qFormat/>
    <w:rsid w:val="00472BCC"/>
    <w:rPr>
      <w:u w:val="single"/>
    </w:rPr>
  </w:style>
  <w:style w:type="paragraph" w:styleId="BalloonText">
    <w:name w:val="Balloon Text"/>
    <w:basedOn w:val="Normal"/>
    <w:link w:val="BalloonTextChar"/>
    <w:rsid w:val="00472BCC"/>
    <w:rPr>
      <w:rFonts w:ascii="Tahoma" w:hAnsi="Tahoma" w:cs="Tahoma"/>
      <w:sz w:val="16"/>
      <w:szCs w:val="16"/>
    </w:rPr>
  </w:style>
  <w:style w:type="character" w:customStyle="1" w:styleId="BalloonTextChar">
    <w:name w:val="Balloon Text Char"/>
    <w:basedOn w:val="DefaultParagraphFont"/>
    <w:link w:val="BalloonText"/>
    <w:rsid w:val="00472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B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BCC"/>
    <w:rPr>
      <w:b/>
      <w:color w:val="660033"/>
      <w:spacing w:val="0"/>
    </w:rPr>
  </w:style>
  <w:style w:type="paragraph" w:customStyle="1" w:styleId="Nameditemlist">
    <w:name w:val="Named item list"/>
    <w:basedOn w:val="BodyText"/>
    <w:qFormat/>
    <w:rsid w:val="00472B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1696</Words>
  <Characters>11440</Characters>
  <Application>Microsoft Office Word</Application>
  <DocSecurity>0</DocSecurity>
  <Lines>374</Lines>
  <Paragraphs>237</Paragraphs>
  <ScaleCrop>false</ScaleCrop>
  <Company>Author-it Software Corporation Ltd.</Company>
  <LinksUpToDate>false</LinksUpToDate>
  <CharactersWithSpaces>13036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SIRXGLC502 Establish business legal and legislative requirements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2012-06-14T07:20:00Z</dcterms:created>
  <dcterms:modified xsi:type="dcterms:W3CDTF">2012-06-14T07:20:00Z</dcterms:modified>
</cp:coreProperties>
</file>