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B2B" w:rsidP="00853B2B">
      <w:pPr>
        <w:pStyle w:val="Title"/>
      </w:pPr>
      <w:bookmarkStart w:id="0" w:name="_GoBack"/>
      <w:bookmarkEnd w:id="0"/>
      <w:r>
        <w:fldChar w:fldCharType="begin"/>
      </w:r>
      <w:r>
        <w:instrText xml:space="preserve"> TITLE   \* MERGEFORMAT </w:instrText>
      </w:r>
      <w:r>
        <w:fldChar w:fldCharType="separate"/>
      </w:r>
      <w:r>
        <w:t>SIRXGLC401 Monitor compliance with legislative requirements for the establishment of a retail business</w:t>
      </w:r>
      <w:r>
        <w:fldChar w:fldCharType="end"/>
      </w:r>
    </w:p>
    <w:p w:rsidR="00853B2B" w:rsidP="00853B2B">
      <w:pPr>
        <w:pStyle w:val="Version"/>
        <w:sectPr w:rsidSect="009D37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721" w:rsidP="009D3721">
      <w:pPr>
        <w:pStyle w:val="SuperHeading"/>
      </w:pPr>
      <w:r w:rsidRPr="009D3721">
        <w:t>SIRXGLC401 Monitor compliance with legislative requirements for the establishment of a retail business</w:t>
      </w:r>
    </w:p>
    <w:p w:rsidR="00000000" w:rsidRPr="009D3721" w:rsidP="009D3721">
      <w:pPr>
        <w:pStyle w:val="Heading1"/>
      </w:pPr>
      <w:bookmarkStart w:id="1" w:name="O_394262"/>
      <w:bookmarkEnd w:id="1"/>
      <w:r w:rsidRPr="009D3721">
        <w:t>Modification History</w:t>
      </w:r>
    </w:p>
    <w:p w:rsidR="00000000" w:rsidRPr="009D3721" w:rsidP="009D3721">
      <w:pPr>
        <w:pStyle w:val="BodyText"/>
      </w:pPr>
      <w:r w:rsidRPr="009D3721">
        <w:t>The version details of thi</w:t>
      </w:r>
      <w:r w:rsidRPr="009D3721">
        <w:t>s endorsed unit are in the table below. The latest information is at the top.</w:t>
      </w:r>
    </w:p>
    <w:tbl>
      <w:tblPr>
        <w:tblW w:w="0" w:type="auto"/>
        <w:tblCellMar>
          <w:left w:w="62" w:type="dxa"/>
          <w:right w:w="62" w:type="dxa"/>
        </w:tblCellMar>
        <w:tblLook w:val="0000"/>
      </w:tblPr>
      <w:tblGrid>
        <w:gridCol w:w="4609"/>
        <w:gridCol w:w="4587"/>
      </w:tblGrid>
      <w:tr w:rsidTr="00853B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721" w:rsidP="009D3721">
            <w:pPr>
              <w:pStyle w:val="BodyText"/>
            </w:pPr>
            <w:r w:rsidRPr="009D372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721">
            <w:pPr>
              <w:pStyle w:val="BodyText"/>
              <w:rPr>
                <w:lang w:val="en-NZ"/>
              </w:rPr>
            </w:pPr>
            <w:r w:rsidRPr="009D3721">
              <w:rPr>
                <w:rStyle w:val="SpecialBold"/>
              </w:rPr>
              <w:t>Comments</w:t>
            </w:r>
          </w:p>
        </w:tc>
      </w:tr>
      <w:tr w:rsidTr="00853B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721">
            <w:pPr>
              <w:pStyle w:val="BodyText"/>
              <w:rPr>
                <w:lang w:val="en-NZ"/>
              </w:rPr>
            </w:pPr>
            <w:r w:rsidRPr="009D3721">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721" w:rsidP="009D3721">
            <w:pPr>
              <w:pStyle w:val="BodyText"/>
            </w:pPr>
            <w:r w:rsidRPr="009D3721">
              <w:t>This is a revised unit, based on and equivalent to SIRXGLC001A Monitor compliance with legal and legislative requirements affecting business oper</w:t>
            </w:r>
            <w:r w:rsidRPr="009D3721">
              <w:t>ations.</w:t>
            </w:r>
          </w:p>
        </w:tc>
      </w:tr>
    </w:tbl>
    <w:p w:rsidR="00000000" w:rsidRPr="009D3721" w:rsidP="009D3721">
      <w:pPr>
        <w:pStyle w:val="BodyText"/>
      </w:pPr>
    </w:p>
    <w:p w:rsidR="00000000" w:rsidRPr="009D3721" w:rsidP="009D3721">
      <w:pPr>
        <w:pStyle w:val="AllowPageBreak"/>
      </w:pPr>
    </w:p>
    <w:p w:rsidR="00000000" w:rsidRPr="009D3721" w:rsidP="009D3721">
      <w:pPr>
        <w:pStyle w:val="Heading1"/>
      </w:pPr>
      <w:bookmarkStart w:id="2" w:name="O_394263"/>
      <w:bookmarkEnd w:id="2"/>
      <w:r w:rsidRPr="009D3721">
        <w:t>Unit Descriptor</w:t>
      </w:r>
    </w:p>
    <w:p w:rsidR="00000000" w:rsidRPr="009D3721" w:rsidP="009D3721">
      <w:pPr>
        <w:pStyle w:val="BodyText"/>
      </w:pPr>
      <w:r w:rsidRPr="009D3721">
        <w:t>This unit describes the performance outcomes, skills and knowledge required to investigate and comply with the legal and administrative requirements for establishing a retail business.</w:t>
      </w:r>
    </w:p>
    <w:p w:rsidR="00000000" w:rsidRPr="009D3721" w:rsidP="009D3721">
      <w:pPr>
        <w:pStyle w:val="BodyText"/>
      </w:pPr>
    </w:p>
    <w:p w:rsidR="00000000" w:rsidRPr="009D3721" w:rsidP="009D3721">
      <w:pPr>
        <w:pStyle w:val="BodyText"/>
      </w:pPr>
      <w:r w:rsidRPr="009D3721">
        <w:t>The unit covers identifying and understanding relevant legislation, establishing a legal structure for a business, complying with statutory requirements, minimising risks, and securing rights to products and services.</w:t>
      </w:r>
    </w:p>
    <w:p w:rsidR="00000000" w:rsidRPr="009D3721" w:rsidP="009D3721">
      <w:pPr>
        <w:pStyle w:val="AllowPageBreak"/>
      </w:pPr>
    </w:p>
    <w:p w:rsidR="00000000" w:rsidRPr="009D3721" w:rsidP="009D3721">
      <w:pPr>
        <w:pStyle w:val="Heading1"/>
      </w:pPr>
      <w:bookmarkStart w:id="3" w:name="O_394264"/>
      <w:bookmarkEnd w:id="3"/>
      <w:r w:rsidRPr="009D3721">
        <w:t>Application of the Un</w:t>
      </w:r>
      <w:r w:rsidRPr="009D3721">
        <w:t>it</w:t>
      </w:r>
    </w:p>
    <w:p w:rsidR="00000000" w:rsidRPr="009D3721" w:rsidP="009D3721">
      <w:pPr>
        <w:pStyle w:val="BodyText"/>
      </w:pPr>
      <w:r w:rsidRPr="009D3721">
        <w:t>This unit applies to senior managers and business owners in the retail environment.</w:t>
      </w:r>
    </w:p>
    <w:p w:rsidR="00000000" w:rsidRPr="009D3721" w:rsidP="009D3721">
      <w:pPr>
        <w:pStyle w:val="AllowPageBreak"/>
      </w:pPr>
    </w:p>
    <w:p w:rsidR="00000000" w:rsidRPr="009D3721" w:rsidP="009D3721">
      <w:pPr>
        <w:pStyle w:val="Heading1"/>
      </w:pPr>
      <w:bookmarkStart w:id="4" w:name="O_394265"/>
      <w:bookmarkEnd w:id="4"/>
      <w:r w:rsidRPr="009D3721">
        <w:t>Licensing/Regulatory Information</w:t>
      </w:r>
    </w:p>
    <w:p w:rsidR="00000000" w:rsidRPr="009D3721" w:rsidP="009D3721">
      <w:pPr>
        <w:pStyle w:val="BodyText"/>
      </w:pPr>
      <w:r w:rsidRPr="009D3721">
        <w:t>Licensing, legislative and regulatory requirements apply to the legal establishment of a business at the time of endors</w:t>
      </w:r>
      <w:r w:rsidRPr="009D3721">
        <w:t>ement. Checks should be made of current requirements within the relevant state or territory.</w:t>
      </w:r>
    </w:p>
    <w:p w:rsidR="00000000" w:rsidRPr="009D3721" w:rsidP="009D3721">
      <w:pPr>
        <w:pStyle w:val="AllowPageBreak"/>
      </w:pPr>
    </w:p>
    <w:p w:rsidR="00000000" w:rsidRPr="009D3721" w:rsidP="009D3721">
      <w:pPr>
        <w:pStyle w:val="Heading1"/>
      </w:pPr>
      <w:bookmarkStart w:id="5" w:name="O_394266"/>
      <w:bookmarkEnd w:id="5"/>
      <w:r w:rsidRPr="009D3721">
        <w:t>Pre-Requisites</w:t>
      </w:r>
    </w:p>
    <w:p w:rsidR="00000000" w:rsidRPr="009D3721" w:rsidP="009D3721">
      <w:pPr>
        <w:pStyle w:val="BodyText"/>
      </w:pPr>
      <w:r w:rsidRPr="009D3721">
        <w:t>Nil</w:t>
      </w:r>
    </w:p>
    <w:p w:rsidR="00000000" w:rsidRPr="009D3721" w:rsidP="009D3721">
      <w:pPr>
        <w:pStyle w:val="AllowPageBreak"/>
      </w:pPr>
    </w:p>
    <w:p w:rsidR="00000000" w:rsidRPr="009D3721" w:rsidP="009D3721">
      <w:pPr>
        <w:pStyle w:val="Heading1"/>
      </w:pPr>
      <w:bookmarkStart w:id="6" w:name="O_394267"/>
      <w:bookmarkEnd w:id="6"/>
      <w:r w:rsidRPr="009D3721">
        <w:t>Employability Skills Information</w:t>
      </w:r>
    </w:p>
    <w:p w:rsidR="00000000" w:rsidRPr="009D3721" w:rsidP="009D3721">
      <w:pPr>
        <w:pStyle w:val="BodyText"/>
      </w:pPr>
      <w:r w:rsidRPr="009D3721">
        <w:t>This unit contains employability skills.</w:t>
      </w:r>
    </w:p>
    <w:p w:rsidR="00000000" w:rsidRPr="009D3721" w:rsidP="009D3721">
      <w:pPr>
        <w:pStyle w:val="AllowPageBreak"/>
      </w:pPr>
    </w:p>
    <w:p w:rsidR="00000000" w:rsidRPr="009D3721" w:rsidP="009D3721">
      <w:pPr>
        <w:pStyle w:val="Heading1"/>
      </w:pPr>
      <w:bookmarkStart w:id="7" w:name="O_394268"/>
      <w:bookmarkEnd w:id="7"/>
      <w:r w:rsidRPr="009D3721">
        <w:t>Elements and Perfor</w:t>
      </w:r>
      <w:r w:rsidRPr="009D3721">
        <w:t>mance Criteria Pre-Content</w:t>
      </w:r>
    </w:p>
    <w:p w:rsidR="00000000" w:rsidRPr="009D3721" w:rsidP="009D3721">
      <w:pPr>
        <w:pStyle w:val="Heading1"/>
      </w:pPr>
      <w:bookmarkStart w:id="8" w:name="O_394269"/>
      <w:bookmarkEnd w:id="8"/>
      <w:r w:rsidRPr="009D3721">
        <w:t>Elements and Performance Criteria</w:t>
      </w:r>
    </w:p>
    <w:tbl>
      <w:tblPr>
        <w:tblW w:w="0" w:type="auto"/>
        <w:tblCellMar>
          <w:left w:w="62" w:type="dxa"/>
          <w:right w:w="62" w:type="dxa"/>
        </w:tblCellMar>
        <w:tblLook w:val="0000"/>
      </w:tblPr>
      <w:tblGrid>
        <w:gridCol w:w="3344"/>
        <w:gridCol w:w="5852"/>
      </w:tblGrid>
      <w:tr w:rsidTr="00853B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3721" w:rsidP="009D3721">
            <w:pPr>
              <w:pStyle w:val="BodyText"/>
            </w:pPr>
            <w:r w:rsidRPr="009D372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SpecialBold"/>
              </w:rPr>
              <w:t>Performance Criteria</w:t>
            </w:r>
          </w:p>
        </w:tc>
      </w:tr>
      <w:tr w:rsidTr="00853B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t>Performance criteria desc</w:t>
            </w:r>
            <w:r w:rsidRPr="009D3721">
              <w:t>ribe the performance needed to demonstrate achievement of the element. Where bold italicised text is used, further information is detailed in the required skills and knowledge section and the range statement. Assessment of performance is to be consistent w</w:t>
            </w:r>
            <w:r w:rsidRPr="009D3721">
              <w:t>ith the evidence guide.</w:t>
            </w:r>
          </w:p>
        </w:tc>
      </w:tr>
      <w:tr w:rsidTr="00853B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721">
            <w:pPr>
              <w:pStyle w:val="List"/>
              <w:rPr>
                <w:lang w:val="en-NZ"/>
              </w:rPr>
            </w:pPr>
            <w:r w:rsidRPr="009D3721">
              <w:t>1.</w:t>
            </w:r>
            <w:r w:rsidRPr="009D3721">
              <w:tab/>
              <w:t>Determine legal structure of the business.</w:t>
            </w:r>
          </w:p>
        </w:tc>
        <w:tc>
          <w:tcPr>
            <w:tcW w:w="0" w:type="auto"/>
            <w:tcBorders>
              <w:top w:val="nil"/>
              <w:left w:val="nil"/>
              <w:bottom w:val="nil"/>
              <w:right w:val="nil"/>
            </w:tcBorders>
            <w:tcMar>
              <w:top w:w="0" w:type="dxa"/>
              <w:left w:w="62" w:type="dxa"/>
              <w:bottom w:w="0" w:type="dxa"/>
              <w:right w:w="62" w:type="dxa"/>
            </w:tcMar>
          </w:tcPr>
          <w:p w:rsidR="00000000" w:rsidRPr="009D3721" w:rsidP="009D3721">
            <w:pPr>
              <w:pStyle w:val="List"/>
            </w:pPr>
            <w:r w:rsidRPr="009D3721">
              <w:t>1.1.Examine legal options for the most suitable type of</w:t>
            </w:r>
            <w:r w:rsidRPr="009D3721">
              <w:rPr>
                <w:rStyle w:val="BoldandItalics"/>
              </w:rPr>
              <w:t xml:space="preserve"> business structure</w:t>
            </w:r>
            <w:r w:rsidRPr="009D3721">
              <w:t>.</w:t>
            </w:r>
          </w:p>
          <w:p w:rsidR="00000000" w:rsidRPr="009D3721" w:rsidP="009D3721">
            <w:pPr>
              <w:pStyle w:val="List"/>
            </w:pPr>
            <w:r w:rsidRPr="009D3721">
              <w:t xml:space="preserve">1.2.Investigate legal rights and responsibilities of the business to ensure business is adequately protected </w:t>
            </w:r>
            <w:r w:rsidRPr="009D3721">
              <w:t xml:space="preserve">under </w:t>
            </w:r>
            <w:r w:rsidRPr="009D3721">
              <w:rPr>
                <w:rStyle w:val="BoldandItalics"/>
              </w:rPr>
              <w:t>legal and legislative provisions</w:t>
            </w:r>
            <w:r w:rsidRPr="009D3721">
              <w:t>.</w:t>
            </w:r>
          </w:p>
          <w:p w:rsidR="00000000" w:rsidRPr="009D3721" w:rsidP="009D3721">
            <w:pPr>
              <w:pStyle w:val="List"/>
            </w:pPr>
            <w:r w:rsidRPr="009D3721">
              <w:t>1.3.Confer with relevant business partners, business principles, franchisors and funders to inform final decision regarding business structure.</w:t>
            </w:r>
          </w:p>
          <w:p w:rsidR="00000000" w:rsidRPr="009D3721" w:rsidP="009D3721">
            <w:pPr>
              <w:pStyle w:val="List"/>
            </w:pPr>
            <w:r w:rsidRPr="009D3721">
              <w:t>1.4.Seek legal and accounting expertise as required to inform final deci</w:t>
            </w:r>
            <w:r w:rsidRPr="009D3721">
              <w:t>sion regarding business structure.</w:t>
            </w:r>
          </w:p>
          <w:p w:rsidR="00000000" w:rsidP="009D3721">
            <w:pPr>
              <w:pStyle w:val="List"/>
              <w:rPr>
                <w:lang w:val="en-NZ"/>
              </w:rPr>
            </w:pPr>
            <w:r w:rsidRPr="009D3721">
              <w:t>1.5.Compile and prepare documentation for lodgement to register the business entity with appropriate corporate regulator according to business owner’s wishes.</w:t>
            </w:r>
          </w:p>
        </w:tc>
      </w:tr>
      <w:tr w:rsidTr="00853B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721">
            <w:pPr>
              <w:pStyle w:val="List"/>
              <w:rPr>
                <w:lang w:val="en-NZ"/>
              </w:rPr>
            </w:pPr>
            <w:r w:rsidRPr="009D3721">
              <w:t>2.</w:t>
            </w:r>
            <w:r w:rsidRPr="009D3721">
              <w:tab/>
              <w:t>Monitor compliance with statutory and regulatory requireme</w:t>
            </w:r>
            <w:r w:rsidRPr="009D3721">
              <w:t>nts.</w:t>
            </w:r>
          </w:p>
        </w:tc>
        <w:tc>
          <w:tcPr>
            <w:tcW w:w="0" w:type="auto"/>
            <w:tcBorders>
              <w:top w:val="nil"/>
              <w:left w:val="nil"/>
              <w:bottom w:val="nil"/>
              <w:right w:val="nil"/>
            </w:tcBorders>
            <w:tcMar>
              <w:top w:w="0" w:type="dxa"/>
              <w:left w:w="62" w:type="dxa"/>
              <w:bottom w:w="0" w:type="dxa"/>
              <w:right w:w="62" w:type="dxa"/>
            </w:tcMar>
          </w:tcPr>
          <w:p w:rsidR="00000000" w:rsidRPr="009D3721" w:rsidP="009D3721">
            <w:pPr>
              <w:pStyle w:val="List"/>
            </w:pPr>
            <w:r w:rsidRPr="009D3721">
              <w:t xml:space="preserve">2.1.Confirm </w:t>
            </w:r>
            <w:r w:rsidRPr="009D3721">
              <w:rPr>
                <w:rStyle w:val="BoldandItalics"/>
              </w:rPr>
              <w:t>statutory and regulatory requirements</w:t>
            </w:r>
            <w:r w:rsidRPr="009D3721">
              <w:t xml:space="preserve"> affecting the operations of the business and take appropriate steps to ensure full compliance.</w:t>
            </w:r>
          </w:p>
          <w:p w:rsidR="00000000" w:rsidRPr="009D3721" w:rsidP="009D3721">
            <w:pPr>
              <w:pStyle w:val="List"/>
            </w:pPr>
            <w:r w:rsidRPr="009D3721">
              <w:t xml:space="preserve">2.2.Determine </w:t>
            </w:r>
            <w:r w:rsidRPr="009D3721">
              <w:rPr>
                <w:rStyle w:val="BoldandItalics"/>
              </w:rPr>
              <w:t>insurance requirements</w:t>
            </w:r>
            <w:r w:rsidRPr="009D3721">
              <w:t xml:space="preserve"> and acquire adequate cover to ensure risk minimisation.</w:t>
            </w:r>
          </w:p>
          <w:p w:rsidR="00000000" w:rsidRPr="009D3721" w:rsidP="009D3721">
            <w:pPr>
              <w:pStyle w:val="List"/>
            </w:pPr>
            <w:r w:rsidRPr="009D3721">
              <w:t>2.3.Monitor t</w:t>
            </w:r>
            <w:r w:rsidRPr="009D3721">
              <w:t xml:space="preserve">he establishment and performance of contracts to ensure compliance and the fulfilment of </w:t>
            </w:r>
            <w:r w:rsidRPr="009D3721">
              <w:rPr>
                <w:rStyle w:val="BoldandItalics"/>
              </w:rPr>
              <w:t>rights and obligations</w:t>
            </w:r>
            <w:r w:rsidRPr="009D3721">
              <w:t>.</w:t>
            </w:r>
          </w:p>
          <w:p w:rsidR="00000000" w:rsidP="009D3721">
            <w:pPr>
              <w:pStyle w:val="List"/>
              <w:rPr>
                <w:lang w:val="en-NZ"/>
              </w:rPr>
            </w:pPr>
            <w:r w:rsidRPr="009D3721">
              <w:t xml:space="preserve">2.4.Maintain and update legal documents and relevant </w:t>
            </w:r>
            <w:r w:rsidRPr="009D3721">
              <w:rPr>
                <w:rStyle w:val="BoldandItalics"/>
              </w:rPr>
              <w:t>records</w:t>
            </w:r>
            <w:r w:rsidRPr="009D3721">
              <w:t xml:space="preserve"> according to security and access requirements.</w:t>
            </w:r>
          </w:p>
        </w:tc>
      </w:tr>
      <w:tr w:rsidTr="00853B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3721">
            <w:pPr>
              <w:pStyle w:val="List"/>
              <w:rPr>
                <w:lang w:val="en-NZ"/>
              </w:rPr>
            </w:pPr>
            <w:r w:rsidRPr="009D3721">
              <w:t>3.</w:t>
            </w:r>
            <w:r w:rsidRPr="009D3721">
              <w:tab/>
              <w:t>Secure rights to products and s</w:t>
            </w:r>
            <w:r w:rsidRPr="009D3721">
              <w:t>ervices.</w:t>
            </w:r>
          </w:p>
        </w:tc>
        <w:tc>
          <w:tcPr>
            <w:tcW w:w="0" w:type="auto"/>
            <w:tcBorders>
              <w:top w:val="nil"/>
              <w:left w:val="nil"/>
              <w:bottom w:val="nil"/>
              <w:right w:val="nil"/>
            </w:tcBorders>
            <w:tcMar>
              <w:top w:w="0" w:type="dxa"/>
              <w:left w:w="62" w:type="dxa"/>
              <w:bottom w:w="0" w:type="dxa"/>
              <w:right w:w="62" w:type="dxa"/>
            </w:tcMar>
          </w:tcPr>
          <w:p w:rsidR="00000000" w:rsidRPr="009D3721" w:rsidP="009D3721">
            <w:pPr>
              <w:pStyle w:val="List"/>
            </w:pPr>
            <w:r w:rsidRPr="009D3721">
              <w:t xml:space="preserve">3.1.Secure </w:t>
            </w:r>
            <w:r w:rsidRPr="009D3721">
              <w:rPr>
                <w:rStyle w:val="BoldandItalics"/>
              </w:rPr>
              <w:t>information</w:t>
            </w:r>
            <w:r w:rsidRPr="009D3721">
              <w:t xml:space="preserve"> on purchase rights to products and services and ensure full understanding of their implications.</w:t>
            </w:r>
          </w:p>
          <w:p w:rsidR="00000000" w:rsidRPr="009D3721" w:rsidP="009D3721">
            <w:pPr>
              <w:pStyle w:val="List"/>
            </w:pPr>
            <w:r w:rsidRPr="009D3721">
              <w:t>3.2.Establish cost of procurement rights to products and services, including ongoing financial planning.</w:t>
            </w:r>
          </w:p>
          <w:p w:rsidR="00000000" w:rsidRPr="009D3721" w:rsidP="009D3721">
            <w:pPr>
              <w:pStyle w:val="List"/>
            </w:pPr>
            <w:r w:rsidRPr="009D3721">
              <w:t>3.3.Confirm rights and responsibilities applying to the use of products and services from the wholesaler to ensure accurate information is communicated to customers.</w:t>
            </w:r>
          </w:p>
          <w:p w:rsidR="00000000" w:rsidRPr="009D3721" w:rsidP="009D3721">
            <w:pPr>
              <w:pStyle w:val="List"/>
            </w:pPr>
            <w:r w:rsidRPr="009D3721">
              <w:t xml:space="preserve">3.4.Determine </w:t>
            </w:r>
            <w:r w:rsidRPr="009D3721">
              <w:rPr>
                <w:rStyle w:val="BoldandItalics"/>
              </w:rPr>
              <w:t>brand</w:t>
            </w:r>
            <w:r w:rsidRPr="009D3721">
              <w:t xml:space="preserve"> ownership and protection rights.</w:t>
            </w:r>
          </w:p>
          <w:p w:rsidR="00000000" w:rsidRPr="009D3721" w:rsidP="009D3721">
            <w:pPr>
              <w:pStyle w:val="List"/>
            </w:pPr>
            <w:r w:rsidRPr="009D3721">
              <w:t>3.5.Secure contractual procurement ri</w:t>
            </w:r>
            <w:r w:rsidRPr="009D3721">
              <w:t>ghts to provide optimal conditions for procurement of products and services.</w:t>
            </w:r>
          </w:p>
        </w:tc>
      </w:tr>
    </w:tbl>
    <w:p w:rsidR="00000000" w:rsidRPr="009D3721" w:rsidP="009D3721">
      <w:pPr>
        <w:pStyle w:val="BodyText"/>
      </w:pPr>
    </w:p>
    <w:p w:rsidR="00000000" w:rsidRPr="009D3721" w:rsidP="009D3721">
      <w:pPr>
        <w:pStyle w:val="AllowPageBreak"/>
      </w:pPr>
    </w:p>
    <w:p w:rsidR="00000000" w:rsidRPr="009D3721" w:rsidP="009D3721">
      <w:pPr>
        <w:pStyle w:val="Heading1"/>
      </w:pPr>
      <w:bookmarkStart w:id="9" w:name="O_394270"/>
      <w:bookmarkEnd w:id="9"/>
      <w:r w:rsidRPr="009D3721">
        <w:t>Required Skills and Knowledge</w:t>
      </w:r>
    </w:p>
    <w:tbl>
      <w:tblPr>
        <w:tblW w:w="0" w:type="auto"/>
        <w:tblLayout w:type="fixed"/>
        <w:tblCellMar>
          <w:left w:w="62" w:type="dxa"/>
          <w:right w:w="62" w:type="dxa"/>
        </w:tblCellMar>
        <w:tblLook w:val="0000"/>
      </w:tblPr>
      <w:tblGrid>
        <w:gridCol w:w="8930"/>
      </w:tblGrid>
      <w:tr w:rsidTr="009D372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t>This section describes the skills and knowledge required for this unit.</w:t>
            </w:r>
          </w:p>
        </w:tc>
      </w:tr>
      <w:tr w:rsidTr="009D372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SpecialBold"/>
              </w:rPr>
              <w:t>Required skills</w:t>
            </w:r>
          </w:p>
        </w:tc>
      </w:tr>
      <w:tr w:rsidTr="009D372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9D3721" w:rsidP="009D3721">
            <w:pPr>
              <w:pStyle w:val="ListBullet"/>
            </w:pPr>
            <w:r w:rsidRPr="009D3721">
              <w:t>literacy and numeracy skills to:</w:t>
            </w:r>
          </w:p>
          <w:p w:rsidR="00000000" w:rsidRPr="009D3721" w:rsidP="009D3721">
            <w:pPr>
              <w:pStyle w:val="ListBullet2"/>
            </w:pPr>
            <w:r w:rsidRPr="009D3721">
              <w:t>determine the costs and consequences of non</w:t>
            </w:r>
            <w:r w:rsidRPr="009D3721">
              <w:noBreakHyphen/>
              <w:t>compliance with key legal obligations and requirements affecting wholesale transactions</w:t>
            </w:r>
          </w:p>
          <w:p w:rsidR="00000000" w:rsidRPr="009D3721" w:rsidP="009D3721">
            <w:pPr>
              <w:pStyle w:val="ListBullet2"/>
            </w:pPr>
            <w:r w:rsidRPr="009D3721">
              <w:t>interpret basic documents of a statutory, legal and contractual nature within a business context</w:t>
            </w:r>
          </w:p>
          <w:p w:rsidR="00000000" w:rsidRPr="009D3721" w:rsidP="009D3721">
            <w:pPr>
              <w:pStyle w:val="ListBullet2"/>
            </w:pPr>
            <w:r w:rsidRPr="009D3721">
              <w:t xml:space="preserve">record, store and transfer </w:t>
            </w:r>
            <w:r w:rsidRPr="009D3721">
              <w:t>information</w:t>
            </w:r>
          </w:p>
          <w:p w:rsidR="00000000" w:rsidP="009D3721">
            <w:pPr>
              <w:pStyle w:val="ListBullet"/>
              <w:rPr>
                <w:lang w:val="en-NZ"/>
              </w:rPr>
            </w:pPr>
            <w:r w:rsidRPr="009D3721">
              <w:t>planning and organising skills to research, plan, analyse and organise information</w:t>
            </w:r>
          </w:p>
        </w:tc>
      </w:tr>
      <w:tr w:rsidTr="009D372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SpecialBold"/>
              </w:rPr>
              <w:t>Required knowledge</w:t>
            </w:r>
          </w:p>
        </w:tc>
      </w:tr>
      <w:tr w:rsidTr="009D372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9D3721" w:rsidP="009D3721">
            <w:pPr>
              <w:pStyle w:val="ListBullet"/>
            </w:pPr>
            <w:r w:rsidRPr="009D3721">
              <w:t>business policy and procedures affecting job role or function</w:t>
            </w:r>
          </w:p>
          <w:p w:rsidR="00000000" w:rsidRPr="009D3721" w:rsidP="009D3721">
            <w:pPr>
              <w:pStyle w:val="ListBullet"/>
            </w:pPr>
            <w:r w:rsidRPr="009D3721">
              <w:t>community and consumer representative groups</w:t>
            </w:r>
          </w:p>
          <w:p w:rsidR="00000000" w:rsidRPr="009D3721" w:rsidP="009D3721">
            <w:pPr>
              <w:pStyle w:val="ListBullet"/>
            </w:pPr>
            <w:r w:rsidRPr="009D3721">
              <w:t>concepts of ownership of products, concepts, technology and ideas</w:t>
            </w:r>
          </w:p>
          <w:p w:rsidR="00000000" w:rsidRPr="009D3721" w:rsidP="009D3721">
            <w:pPr>
              <w:pStyle w:val="ListBullet"/>
            </w:pPr>
            <w:r w:rsidRPr="009D3721">
              <w:t>confidentiality and security requirements</w:t>
            </w:r>
          </w:p>
          <w:p w:rsidR="00000000" w:rsidRPr="009D3721" w:rsidP="009D3721">
            <w:pPr>
              <w:pStyle w:val="ListBullet"/>
            </w:pPr>
            <w:r w:rsidRPr="009D3721">
              <w:t>financial reporting and accounting</w:t>
            </w:r>
          </w:p>
          <w:p w:rsidR="00000000" w:rsidRPr="009D3721" w:rsidP="009D3721">
            <w:pPr>
              <w:pStyle w:val="ListBullet"/>
            </w:pPr>
            <w:r w:rsidRPr="009D3721">
              <w:t>information sources on product and supply arrangements for customers</w:t>
            </w:r>
          </w:p>
          <w:p w:rsidR="00000000" w:rsidRPr="009D3721" w:rsidP="009D3721">
            <w:pPr>
              <w:pStyle w:val="ListBullet"/>
            </w:pPr>
            <w:r w:rsidRPr="009D3721">
              <w:t>key regulatory organisations and bodies</w:t>
            </w:r>
          </w:p>
          <w:p w:rsidR="00000000" w:rsidRPr="009D3721" w:rsidP="009D3721">
            <w:pPr>
              <w:pStyle w:val="ListBullet"/>
            </w:pPr>
            <w:r w:rsidRPr="009D3721">
              <w:t>lega</w:t>
            </w:r>
            <w:r w:rsidRPr="009D3721">
              <w:t>l rights and responsibilities of different business structures</w:t>
            </w:r>
          </w:p>
          <w:p w:rsidR="00000000" w:rsidRPr="009D3721" w:rsidP="009D3721">
            <w:pPr>
              <w:pStyle w:val="ListBullet"/>
            </w:pPr>
            <w:r w:rsidRPr="009D3721">
              <w:t>legal structures of businesses</w:t>
            </w:r>
          </w:p>
          <w:p w:rsidR="00000000" w:rsidRPr="009D3721" w:rsidP="009D3721">
            <w:pPr>
              <w:pStyle w:val="ListBullet"/>
            </w:pPr>
            <w:r w:rsidRPr="009D3721">
              <w:t>relevant legislation and statutory requirements, including:</w:t>
            </w:r>
          </w:p>
          <w:p w:rsidR="00000000" w:rsidRPr="009D3721" w:rsidP="009D3721">
            <w:pPr>
              <w:pStyle w:val="ListBullet2"/>
            </w:pPr>
            <w:r w:rsidRPr="009D3721">
              <w:t>industry codes of practice</w:t>
            </w:r>
          </w:p>
          <w:p w:rsidR="00000000" w:rsidRPr="009D3721" w:rsidP="009D3721">
            <w:pPr>
              <w:pStyle w:val="ListBullet2"/>
            </w:pPr>
            <w:r w:rsidRPr="009D3721">
              <w:t>work health and safety (WHS)</w:t>
            </w:r>
          </w:p>
          <w:p w:rsidR="00000000" w:rsidRPr="009D3721" w:rsidP="009D3721">
            <w:pPr>
              <w:pStyle w:val="ListBullet2"/>
            </w:pPr>
            <w:r w:rsidRPr="009D3721">
              <w:t>Australian consumer law</w:t>
            </w:r>
          </w:p>
          <w:p w:rsidR="00000000" w:rsidRPr="009D3721" w:rsidP="009D3721">
            <w:pPr>
              <w:pStyle w:val="ListBullet"/>
            </w:pPr>
            <w:r w:rsidRPr="009D3721">
              <w:t>service and consumer rights and business obligations</w:t>
            </w:r>
          </w:p>
          <w:p w:rsidR="00000000" w:rsidRPr="009D3721" w:rsidP="009D3721">
            <w:pPr>
              <w:pStyle w:val="ListBullet"/>
            </w:pPr>
            <w:r w:rsidRPr="009D3721">
              <w:t>sources of legal and technical expertise and advice</w:t>
            </w:r>
          </w:p>
          <w:p w:rsidR="00000000" w:rsidRPr="009D3721" w:rsidP="009D3721">
            <w:pPr>
              <w:pStyle w:val="ListBullet"/>
            </w:pPr>
            <w:r w:rsidRPr="009D3721">
              <w:t>statutory and approval processes</w:t>
            </w:r>
          </w:p>
        </w:tc>
      </w:tr>
    </w:tbl>
    <w:p w:rsidR="00000000" w:rsidRPr="009D3721" w:rsidP="009D3721">
      <w:pPr>
        <w:pStyle w:val="BodyText"/>
      </w:pPr>
    </w:p>
    <w:p w:rsidR="00000000" w:rsidRPr="009D3721" w:rsidP="009D3721">
      <w:pPr>
        <w:pStyle w:val="AllowPageBreak"/>
      </w:pPr>
    </w:p>
    <w:p w:rsidR="00000000" w:rsidRPr="009D3721" w:rsidP="009D3721">
      <w:pPr>
        <w:pStyle w:val="Heading1"/>
      </w:pPr>
      <w:bookmarkStart w:id="10" w:name="O_394271"/>
      <w:bookmarkEnd w:id="10"/>
      <w:r w:rsidRPr="009D3721">
        <w:t>Evidence Guide</w:t>
      </w:r>
    </w:p>
    <w:tbl>
      <w:tblPr>
        <w:tblW w:w="0" w:type="auto"/>
        <w:tblLayout w:type="fixed"/>
        <w:tblCellMar>
          <w:left w:w="62" w:type="dxa"/>
          <w:right w:w="62" w:type="dxa"/>
        </w:tblCellMar>
        <w:tblLook w:val="0000"/>
      </w:tblPr>
      <w:tblGrid>
        <w:gridCol w:w="2522"/>
        <w:gridCol w:w="6408"/>
      </w:tblGrid>
      <w:tr w:rsidTr="009D3721">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t>The evidence guide provides advice on assessment and must be read in conjunction with the performance criteria, required skills and knowledge, range statement and the Assessment Guidelines for the Training Package.</w:t>
            </w:r>
          </w:p>
        </w:tc>
      </w:tr>
      <w:tr w:rsidTr="009D3721">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SpecialBold"/>
              </w:rPr>
              <w:t>Critical aspects for assessment and evi</w:t>
            </w:r>
            <w:r w:rsidRPr="009D3721">
              <w:rPr>
                <w:rStyle w:val="SpecialBold"/>
              </w:rPr>
              <w:t>dence required to demonstrate competency in this unit</w:t>
            </w:r>
          </w:p>
        </w:tc>
        <w:tc>
          <w:tcPr>
            <w:tcW w:w="6408" w:type="dxa"/>
            <w:tcBorders>
              <w:top w:val="nil"/>
              <w:left w:val="nil"/>
              <w:bottom w:val="nil"/>
              <w:right w:val="nil"/>
            </w:tcBorders>
            <w:tcMar>
              <w:top w:w="0" w:type="dxa"/>
              <w:left w:w="62" w:type="dxa"/>
              <w:bottom w:w="0" w:type="dxa"/>
              <w:right w:w="62" w:type="dxa"/>
            </w:tcMar>
          </w:tcPr>
          <w:p w:rsidR="00000000" w:rsidRPr="009D3721" w:rsidP="009D3721">
            <w:pPr>
              <w:pStyle w:val="BodyText"/>
            </w:pPr>
            <w:r w:rsidRPr="009D3721">
              <w:t>Evidence of the following is essential:</w:t>
            </w:r>
          </w:p>
          <w:p w:rsidR="00000000" w:rsidRPr="009D3721" w:rsidP="009D3721">
            <w:pPr>
              <w:pStyle w:val="ListBullet"/>
            </w:pPr>
            <w:r w:rsidRPr="009D3721">
              <w:t>identifies, analyses and describes a range of basic business structures</w:t>
            </w:r>
          </w:p>
          <w:p w:rsidR="00000000" w:rsidRPr="009D3721" w:rsidP="009D3721">
            <w:pPr>
              <w:pStyle w:val="ListBullet"/>
            </w:pPr>
            <w:r w:rsidRPr="009D3721">
              <w:t>accesses and interprets a range of relevant legal and technical advice on operational mat</w:t>
            </w:r>
            <w:r w:rsidRPr="009D3721">
              <w:t>ters</w:t>
            </w:r>
          </w:p>
          <w:p w:rsidR="00000000" w:rsidRPr="009D3721" w:rsidP="009D3721">
            <w:pPr>
              <w:pStyle w:val="ListBullet"/>
            </w:pPr>
            <w:r w:rsidRPr="009D3721">
              <w:t>determines and formally details the compliance of existing business operations with legal and legislative requirements</w:t>
            </w:r>
          </w:p>
          <w:p w:rsidR="00000000" w:rsidRPr="009D3721" w:rsidP="009D3721">
            <w:pPr>
              <w:pStyle w:val="ListBullet"/>
            </w:pPr>
            <w:r w:rsidRPr="009D3721">
              <w:t>confirms and describes the rights of consumers, covering a range of service and product delivery scenarios for a business</w:t>
            </w:r>
          </w:p>
          <w:p w:rsidR="00000000" w:rsidP="009D3721">
            <w:pPr>
              <w:pStyle w:val="ListBullet"/>
              <w:rPr>
                <w:lang w:val="en-NZ"/>
              </w:rPr>
            </w:pPr>
            <w:r w:rsidRPr="009D3721">
              <w:t>uses relev</w:t>
            </w:r>
            <w:r w:rsidRPr="009D3721">
              <w:t>ant legal and statutory rights to protect the business brand and intellectual property.</w:t>
            </w:r>
          </w:p>
        </w:tc>
      </w:tr>
      <w:tr w:rsidTr="009D3721">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SpecialBold"/>
              </w:rPr>
              <w:t>Context of and specific resources for assessment</w:t>
            </w:r>
          </w:p>
        </w:tc>
        <w:tc>
          <w:tcPr>
            <w:tcW w:w="6408" w:type="dxa"/>
            <w:tcBorders>
              <w:top w:val="nil"/>
              <w:left w:val="nil"/>
              <w:bottom w:val="nil"/>
              <w:right w:val="nil"/>
            </w:tcBorders>
            <w:tcMar>
              <w:top w:w="0" w:type="dxa"/>
              <w:left w:w="62" w:type="dxa"/>
              <w:bottom w:w="0" w:type="dxa"/>
              <w:right w:w="62" w:type="dxa"/>
            </w:tcMar>
          </w:tcPr>
          <w:p w:rsidR="00000000" w:rsidRPr="009D3721" w:rsidP="009D3721">
            <w:pPr>
              <w:pStyle w:val="BodyText"/>
            </w:pPr>
            <w:r w:rsidRPr="009D3721">
              <w:t>Assessment must ensure access to:</w:t>
            </w:r>
          </w:p>
          <w:p w:rsidR="00000000" w:rsidRPr="009D3721" w:rsidP="009D3721">
            <w:pPr>
              <w:pStyle w:val="ListBullet"/>
            </w:pPr>
            <w:r w:rsidRPr="009D3721">
              <w:t>a retail work environment</w:t>
            </w:r>
          </w:p>
          <w:p w:rsidR="00000000" w:rsidRPr="009D3721" w:rsidP="009D3721">
            <w:pPr>
              <w:pStyle w:val="ListBullet"/>
            </w:pPr>
            <w:r w:rsidRPr="009D3721">
              <w:t>relevant documentation, such as:</w:t>
            </w:r>
          </w:p>
          <w:p w:rsidR="00000000" w:rsidRPr="009D3721" w:rsidP="009D3721">
            <w:pPr>
              <w:pStyle w:val="ListBullet2"/>
            </w:pPr>
            <w:r w:rsidRPr="009D3721">
              <w:t>legislation and statutory requirements</w:t>
            </w:r>
          </w:p>
          <w:p w:rsidR="00000000" w:rsidRPr="009D3721" w:rsidP="009D3721">
            <w:pPr>
              <w:pStyle w:val="ListBullet2"/>
            </w:pPr>
            <w:r w:rsidRPr="009D3721">
              <w:t>information on the internal and external operating environment</w:t>
            </w:r>
          </w:p>
          <w:p w:rsidR="00000000" w:rsidRPr="009D3721" w:rsidP="009D3721">
            <w:pPr>
              <w:pStyle w:val="ListBullet2"/>
            </w:pPr>
            <w:r w:rsidRPr="009D3721">
              <w:t>business policy and procedures manuals</w:t>
            </w:r>
          </w:p>
          <w:p w:rsidR="00000000" w:rsidRPr="009D3721" w:rsidP="009D3721">
            <w:pPr>
              <w:pStyle w:val="ListBullet"/>
            </w:pPr>
            <w:r w:rsidRPr="009D3721">
              <w:t>information on:</w:t>
            </w:r>
          </w:p>
          <w:p w:rsidR="00000000" w:rsidRPr="009D3721" w:rsidP="009D3721">
            <w:pPr>
              <w:pStyle w:val="ListBullet2"/>
            </w:pPr>
            <w:r w:rsidRPr="009D3721">
              <w:t>business operations</w:t>
            </w:r>
          </w:p>
          <w:p w:rsidR="00000000" w:rsidRPr="009D3721" w:rsidP="009D3721">
            <w:pPr>
              <w:pStyle w:val="ListBullet2"/>
            </w:pPr>
            <w:r w:rsidRPr="009D3721">
              <w:t>markets</w:t>
            </w:r>
          </w:p>
          <w:p w:rsidR="00000000" w:rsidRPr="009D3721" w:rsidP="009D3721">
            <w:pPr>
              <w:pStyle w:val="ListBullet2"/>
            </w:pPr>
            <w:r w:rsidRPr="009D3721">
              <w:t>competitors</w:t>
            </w:r>
          </w:p>
          <w:p w:rsidR="00000000" w:rsidRPr="009D3721" w:rsidP="009D3721">
            <w:pPr>
              <w:pStyle w:val="ListBullet2"/>
            </w:pPr>
            <w:r w:rsidRPr="009D3721">
              <w:t>products and services</w:t>
            </w:r>
          </w:p>
          <w:p w:rsidR="00000000" w:rsidP="009D3721">
            <w:pPr>
              <w:pStyle w:val="ListBullet2"/>
              <w:rPr>
                <w:lang w:val="en-NZ"/>
              </w:rPr>
            </w:pPr>
            <w:r w:rsidRPr="009D3721">
              <w:t>suppliers.</w:t>
            </w:r>
          </w:p>
        </w:tc>
      </w:tr>
      <w:tr w:rsidTr="009D3721">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SpecialBold"/>
              </w:rPr>
              <w:t>Method of assessment</w:t>
            </w:r>
          </w:p>
        </w:tc>
        <w:tc>
          <w:tcPr>
            <w:tcW w:w="6408" w:type="dxa"/>
            <w:tcBorders>
              <w:top w:val="nil"/>
              <w:left w:val="nil"/>
              <w:bottom w:val="nil"/>
              <w:right w:val="nil"/>
            </w:tcBorders>
            <w:tcMar>
              <w:top w:w="0" w:type="dxa"/>
              <w:left w:w="62" w:type="dxa"/>
              <w:bottom w:w="0" w:type="dxa"/>
              <w:right w:w="62" w:type="dxa"/>
            </w:tcMar>
          </w:tcPr>
          <w:p w:rsidR="00000000" w:rsidRPr="009D3721" w:rsidP="009D3721">
            <w:pPr>
              <w:pStyle w:val="BodyText"/>
            </w:pPr>
            <w:r w:rsidRPr="009D3721">
              <w:t>A range of assessment methods should be used to assess practical skills and knowledge. The following examples are appropriate for this unit:</w:t>
            </w:r>
          </w:p>
          <w:p w:rsidR="00000000" w:rsidRPr="009D3721" w:rsidP="009D3721">
            <w:pPr>
              <w:pStyle w:val="ListBullet"/>
            </w:pPr>
            <w:r w:rsidRPr="009D3721">
              <w:t>observation of performance in the workplace</w:t>
            </w:r>
          </w:p>
          <w:p w:rsidR="00000000" w:rsidRPr="009D3721" w:rsidP="009D3721">
            <w:pPr>
              <w:pStyle w:val="ListBullet"/>
            </w:pPr>
            <w:r w:rsidRPr="009D3721">
              <w:t>third-party reports from a supervisor</w:t>
            </w:r>
          </w:p>
          <w:p w:rsidR="00000000" w:rsidRPr="009D3721" w:rsidP="009D3721">
            <w:pPr>
              <w:pStyle w:val="ListBullet"/>
            </w:pPr>
            <w:r w:rsidRPr="009D3721">
              <w:t>review of portfolios of evidence</w:t>
            </w:r>
          </w:p>
          <w:p w:rsidR="00000000" w:rsidP="009D3721">
            <w:pPr>
              <w:pStyle w:val="ListBullet"/>
              <w:rPr>
                <w:lang w:val="en-NZ"/>
              </w:rPr>
            </w:pPr>
            <w:r w:rsidRPr="009D3721">
              <w:t>written or verbal questioning to assess knowledge and understanding.</w:t>
            </w:r>
          </w:p>
        </w:tc>
      </w:tr>
      <w:tr w:rsidTr="009D3721">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SpecialBold"/>
              </w:rPr>
              <w:t>Guidance information for assessment</w:t>
            </w:r>
          </w:p>
        </w:tc>
        <w:tc>
          <w:tcPr>
            <w:tcW w:w="6408" w:type="dxa"/>
            <w:tcBorders>
              <w:top w:val="nil"/>
              <w:left w:val="nil"/>
              <w:bottom w:val="nil"/>
              <w:right w:val="nil"/>
            </w:tcBorders>
            <w:tcMar>
              <w:top w:w="0" w:type="dxa"/>
              <w:left w:w="62" w:type="dxa"/>
              <w:bottom w:w="0" w:type="dxa"/>
              <w:right w:w="62" w:type="dxa"/>
            </w:tcMar>
          </w:tcPr>
          <w:p w:rsidR="00000000" w:rsidRPr="009D3721" w:rsidP="009D3721">
            <w:pPr>
              <w:pStyle w:val="BodyText"/>
            </w:pPr>
            <w:r w:rsidRPr="009D3721">
              <w:t>Holistic assessment with other units relevant to the industry sector, workplace and job role is recommended.</w:t>
            </w:r>
          </w:p>
        </w:tc>
      </w:tr>
    </w:tbl>
    <w:p w:rsidR="00000000" w:rsidRPr="009D3721" w:rsidP="009D3721">
      <w:pPr>
        <w:pStyle w:val="BodyText"/>
      </w:pPr>
    </w:p>
    <w:p w:rsidR="00000000" w:rsidRPr="009D3721" w:rsidP="009D3721">
      <w:pPr>
        <w:pStyle w:val="AllowPageBreak"/>
      </w:pPr>
    </w:p>
    <w:p w:rsidR="00000000" w:rsidRPr="009D3721" w:rsidP="009D3721">
      <w:pPr>
        <w:pStyle w:val="Heading1"/>
      </w:pPr>
      <w:bookmarkStart w:id="11" w:name="O_394272"/>
      <w:bookmarkEnd w:id="11"/>
      <w:r w:rsidRPr="009D3721">
        <w:t>Range Statement</w:t>
      </w:r>
    </w:p>
    <w:tbl>
      <w:tblPr>
        <w:tblW w:w="0" w:type="auto"/>
        <w:tblLayout w:type="fixed"/>
        <w:tblCellMar>
          <w:left w:w="62" w:type="dxa"/>
          <w:right w:w="62" w:type="dxa"/>
        </w:tblCellMar>
        <w:tblLook w:val="0000"/>
      </w:tblPr>
      <w:tblGrid>
        <w:gridCol w:w="2522"/>
        <w:gridCol w:w="6408"/>
      </w:tblGrid>
      <w:tr w:rsidTr="009D3721">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t>The r</w:t>
            </w:r>
            <w:r w:rsidRPr="009D3721">
              <w:t>ange statement relates to the unit of competency as a whole. It allows for different work environments and situations that may affect performance. Bold italicised wording, if used in the performance criteria, is detailed below. Essential operating conditio</w:t>
            </w:r>
            <w:r w:rsidRPr="009D3721">
              <w:t>ns that may be present with training and assessment (depending on the work situation, needs of the individual, accessibility of the item, and local industry and regional contexts) may also be included.</w:t>
            </w:r>
          </w:p>
        </w:tc>
      </w:tr>
      <w:tr w:rsidTr="009D3721">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BoldandItalics"/>
              </w:rPr>
              <w:t>Business structure</w:t>
            </w:r>
            <w:r w:rsidRPr="009D3721">
              <w:t>:</w:t>
            </w:r>
          </w:p>
        </w:tc>
        <w:tc>
          <w:tcPr>
            <w:tcW w:w="6408" w:type="dxa"/>
            <w:tcBorders>
              <w:top w:val="nil"/>
              <w:left w:val="nil"/>
              <w:bottom w:val="nil"/>
              <w:right w:val="nil"/>
            </w:tcBorders>
            <w:tcMar>
              <w:top w:w="0" w:type="dxa"/>
              <w:left w:w="62" w:type="dxa"/>
              <w:bottom w:w="0" w:type="dxa"/>
              <w:right w:w="62" w:type="dxa"/>
            </w:tcMar>
          </w:tcPr>
          <w:p w:rsidR="00000000" w:rsidRPr="009D3721" w:rsidP="009D3721">
            <w:pPr>
              <w:pStyle w:val="ListBullet"/>
            </w:pPr>
            <w:r w:rsidRPr="009D3721">
              <w:t>may vary according to:</w:t>
            </w:r>
          </w:p>
          <w:p w:rsidR="00000000" w:rsidRPr="009D3721" w:rsidP="009D3721">
            <w:pPr>
              <w:pStyle w:val="ListBullet2"/>
            </w:pPr>
            <w:r w:rsidRPr="009D3721">
              <w:t>confidentiality considerations</w:t>
            </w:r>
          </w:p>
          <w:p w:rsidR="00000000" w:rsidRPr="009D3721" w:rsidP="009D3721">
            <w:pPr>
              <w:pStyle w:val="ListBullet2"/>
            </w:pPr>
            <w:r w:rsidRPr="009D3721">
              <w:t>franchise arrangements and structures</w:t>
            </w:r>
          </w:p>
          <w:p w:rsidR="00000000" w:rsidRPr="009D3721" w:rsidP="009D3721">
            <w:pPr>
              <w:pStyle w:val="ListBullet2"/>
            </w:pPr>
            <w:r w:rsidRPr="009D3721">
              <w:t>preferences of owners</w:t>
            </w:r>
          </w:p>
          <w:p w:rsidR="00000000" w:rsidRPr="009D3721" w:rsidP="009D3721">
            <w:pPr>
              <w:pStyle w:val="ListBullet2"/>
            </w:pPr>
            <w:r w:rsidRPr="009D3721">
              <w:t>requirements of funding bodies</w:t>
            </w:r>
          </w:p>
          <w:p w:rsidR="00000000" w:rsidRPr="009D3721" w:rsidP="009D3721">
            <w:pPr>
              <w:pStyle w:val="ListBullet2"/>
            </w:pPr>
            <w:r w:rsidRPr="009D3721">
              <w:t>superannuation considerations</w:t>
            </w:r>
          </w:p>
          <w:p w:rsidR="00000000" w:rsidRPr="009D3721" w:rsidP="009D3721">
            <w:pPr>
              <w:pStyle w:val="ListBullet2"/>
            </w:pPr>
            <w:r w:rsidRPr="009D3721">
              <w:t>taxation considerations</w:t>
            </w:r>
          </w:p>
          <w:p w:rsidR="00000000" w:rsidRPr="009D3721" w:rsidP="009D3721">
            <w:pPr>
              <w:pStyle w:val="ListBullet"/>
            </w:pPr>
            <w:r w:rsidRPr="009D3721">
              <w:t>may be established as a:</w:t>
            </w:r>
          </w:p>
          <w:p w:rsidR="00000000" w:rsidRPr="009D3721" w:rsidP="009D3721">
            <w:pPr>
              <w:pStyle w:val="ListBullet2"/>
            </w:pPr>
            <w:r w:rsidRPr="009D3721">
              <w:t>incorporated company</w:t>
            </w:r>
          </w:p>
          <w:p w:rsidR="00000000" w:rsidRPr="009D3721" w:rsidP="009D3721">
            <w:pPr>
              <w:pStyle w:val="ListBullet2"/>
            </w:pPr>
            <w:r w:rsidRPr="009D3721">
              <w:t>partnership</w:t>
            </w:r>
          </w:p>
          <w:p w:rsidR="00000000" w:rsidRPr="009D3721" w:rsidP="009D3721">
            <w:pPr>
              <w:pStyle w:val="ListBullet2"/>
            </w:pPr>
            <w:r w:rsidRPr="009D3721">
              <w:t>sole trader (also known as a ‘single proprietor’)</w:t>
            </w:r>
          </w:p>
          <w:p w:rsidR="00000000" w:rsidP="009D3721">
            <w:pPr>
              <w:pStyle w:val="ListBullet2"/>
              <w:rPr>
                <w:lang w:val="en-NZ"/>
              </w:rPr>
            </w:pPr>
            <w:r w:rsidRPr="009D3721">
              <w:t>trust.</w:t>
            </w:r>
          </w:p>
        </w:tc>
      </w:tr>
      <w:tr w:rsidTr="009D3721">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BoldandItalics"/>
              </w:rPr>
              <w:t xml:space="preserve">Legal and legislative provisions </w:t>
            </w:r>
            <w:r w:rsidRPr="009D3721">
              <w:t>may include:</w:t>
            </w:r>
          </w:p>
        </w:tc>
        <w:tc>
          <w:tcPr>
            <w:tcW w:w="6408" w:type="dxa"/>
            <w:tcBorders>
              <w:top w:val="nil"/>
              <w:left w:val="nil"/>
              <w:bottom w:val="nil"/>
              <w:right w:val="nil"/>
            </w:tcBorders>
            <w:tcMar>
              <w:top w:w="0" w:type="dxa"/>
              <w:left w:w="62" w:type="dxa"/>
              <w:bottom w:w="0" w:type="dxa"/>
              <w:right w:w="62" w:type="dxa"/>
            </w:tcMar>
          </w:tcPr>
          <w:p w:rsidR="00000000" w:rsidRPr="009D3721" w:rsidP="009D3721">
            <w:pPr>
              <w:pStyle w:val="ListBullet"/>
            </w:pPr>
            <w:r w:rsidRPr="009D3721">
              <w:t>Australian Competition and Consumer Commission provisions</w:t>
            </w:r>
          </w:p>
          <w:p w:rsidR="00000000" w:rsidRPr="009D3721" w:rsidP="009D3721">
            <w:pPr>
              <w:pStyle w:val="ListBullet"/>
            </w:pPr>
            <w:r w:rsidRPr="009D3721">
              <w:t>contract law</w:t>
            </w:r>
          </w:p>
          <w:p w:rsidR="00000000" w:rsidRPr="009D3721" w:rsidP="009D3721">
            <w:pPr>
              <w:pStyle w:val="ListBullet"/>
            </w:pPr>
            <w:r w:rsidRPr="009D3721">
              <w:t>emergency procedures</w:t>
            </w:r>
          </w:p>
          <w:p w:rsidR="00000000" w:rsidRPr="009D3721" w:rsidP="009D3721">
            <w:pPr>
              <w:pStyle w:val="ListBullet"/>
            </w:pPr>
            <w:r w:rsidRPr="009D3721">
              <w:t>environmental protection legislation</w:t>
            </w:r>
          </w:p>
          <w:p w:rsidR="00000000" w:rsidRPr="009D3721" w:rsidP="009D3721">
            <w:pPr>
              <w:pStyle w:val="ListBullet"/>
            </w:pPr>
            <w:r w:rsidRPr="009D3721">
              <w:t>equal employment opportunity (EEO) and anti</w:t>
            </w:r>
            <w:r w:rsidRPr="009D3721">
              <w:noBreakHyphen/>
              <w:t>discrimination law</w:t>
            </w:r>
          </w:p>
          <w:p w:rsidR="00000000" w:rsidRPr="009D3721" w:rsidP="009D3721">
            <w:pPr>
              <w:pStyle w:val="ListBullet"/>
            </w:pPr>
            <w:r w:rsidRPr="009D3721">
              <w:t>franchise agreements</w:t>
            </w:r>
          </w:p>
          <w:p w:rsidR="00000000" w:rsidRPr="009D3721" w:rsidP="009D3721">
            <w:pPr>
              <w:pStyle w:val="ListBullet"/>
            </w:pPr>
            <w:r w:rsidRPr="009D3721">
              <w:t>industry codes of practice</w:t>
            </w:r>
          </w:p>
          <w:p w:rsidR="00000000" w:rsidRPr="009D3721" w:rsidP="009D3721">
            <w:pPr>
              <w:pStyle w:val="ListBullet"/>
            </w:pPr>
            <w:r w:rsidRPr="009D3721">
              <w:t>licence, patent or copyright arrangements</w:t>
            </w:r>
          </w:p>
          <w:p w:rsidR="00000000" w:rsidRPr="009D3721" w:rsidP="009D3721">
            <w:pPr>
              <w:pStyle w:val="ListBullet"/>
            </w:pPr>
            <w:r w:rsidRPr="009D3721">
              <w:t>WHS</w:t>
            </w:r>
          </w:p>
          <w:p w:rsidR="00000000" w:rsidRPr="009D3721" w:rsidP="009D3721">
            <w:pPr>
              <w:pStyle w:val="ListBullet"/>
            </w:pPr>
            <w:r w:rsidRPr="009D3721">
              <w:t>taxation law, including registration for the GST</w:t>
            </w:r>
          </w:p>
          <w:p w:rsidR="00000000" w:rsidRPr="009D3721" w:rsidP="009D3721">
            <w:pPr>
              <w:pStyle w:val="ListBullet"/>
            </w:pPr>
            <w:r w:rsidRPr="009D3721">
              <w:t>Australian consumer law and fair trading Acts</w:t>
            </w:r>
          </w:p>
          <w:p w:rsidR="00000000" w:rsidRPr="009D3721" w:rsidP="009D3721">
            <w:pPr>
              <w:pStyle w:val="ListBullet"/>
            </w:pPr>
            <w:r w:rsidRPr="009D3721">
              <w:t>tran</w:t>
            </w:r>
            <w:r w:rsidRPr="009D3721">
              <w:t>sport, storage and handling of goods</w:t>
            </w:r>
          </w:p>
          <w:p w:rsidR="00000000" w:rsidRPr="009D3721" w:rsidP="009D3721">
            <w:pPr>
              <w:pStyle w:val="ListBullet"/>
            </w:pPr>
            <w:r w:rsidRPr="009D3721">
              <w:t>workers’ compensation</w:t>
            </w:r>
          </w:p>
          <w:p w:rsidR="00000000" w:rsidP="009D3721">
            <w:pPr>
              <w:pStyle w:val="ListBullet"/>
              <w:rPr>
                <w:lang w:val="en-NZ"/>
              </w:rPr>
            </w:pPr>
            <w:r w:rsidRPr="009D3721">
              <w:t>workplace relations.</w:t>
            </w:r>
          </w:p>
        </w:tc>
      </w:tr>
      <w:tr w:rsidTr="009D3721">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BoldandItalics"/>
              </w:rPr>
              <w:t>Statutory and regulatory requirements</w:t>
            </w:r>
            <w:r w:rsidRPr="009D3721">
              <w:t xml:space="preserve"> may vary in relation to:</w:t>
            </w:r>
          </w:p>
        </w:tc>
        <w:tc>
          <w:tcPr>
            <w:tcW w:w="6408" w:type="dxa"/>
            <w:tcBorders>
              <w:top w:val="nil"/>
              <w:left w:val="nil"/>
              <w:bottom w:val="nil"/>
              <w:right w:val="nil"/>
            </w:tcBorders>
            <w:tcMar>
              <w:top w:w="0" w:type="dxa"/>
              <w:left w:w="62" w:type="dxa"/>
              <w:bottom w:w="0" w:type="dxa"/>
              <w:right w:w="62" w:type="dxa"/>
            </w:tcMar>
          </w:tcPr>
          <w:p w:rsidR="00000000" w:rsidRPr="009D3721" w:rsidP="009D3721">
            <w:pPr>
              <w:pStyle w:val="ListBullet"/>
            </w:pPr>
            <w:r w:rsidRPr="009D3721">
              <w:t>business merchandise range</w:t>
            </w:r>
          </w:p>
          <w:p w:rsidR="00000000" w:rsidRPr="009D3721" w:rsidP="009D3721">
            <w:pPr>
              <w:pStyle w:val="ListBullet"/>
            </w:pPr>
            <w:r w:rsidRPr="009D3721">
              <w:t>characteristics of specific products or services</w:t>
            </w:r>
          </w:p>
          <w:p w:rsidR="00000000" w:rsidRPr="009D3721" w:rsidP="009D3721">
            <w:pPr>
              <w:pStyle w:val="ListBullet"/>
            </w:pPr>
            <w:r w:rsidRPr="009D3721">
              <w:t>size, type and location of business</w:t>
            </w:r>
          </w:p>
          <w:p w:rsidR="00000000" w:rsidRPr="009D3721" w:rsidP="009D3721">
            <w:pPr>
              <w:pStyle w:val="ListBullet"/>
            </w:pPr>
            <w:r w:rsidRPr="009D3721">
              <w:t>types of products and services provided</w:t>
            </w:r>
          </w:p>
          <w:p w:rsidR="00000000" w:rsidRPr="009D3721" w:rsidP="009D3721">
            <w:pPr>
              <w:pStyle w:val="ListBullet"/>
            </w:pPr>
            <w:r w:rsidRPr="009D3721">
              <w:t>varying levels of staff training</w:t>
            </w:r>
          </w:p>
          <w:p w:rsidR="00000000" w:rsidP="009D3721">
            <w:pPr>
              <w:pStyle w:val="ListBullet"/>
              <w:rPr>
                <w:lang w:val="en-NZ"/>
              </w:rPr>
            </w:pPr>
            <w:r w:rsidRPr="009D3721">
              <w:t>worksite specific context, variations and environments.</w:t>
            </w:r>
          </w:p>
        </w:tc>
      </w:tr>
      <w:tr w:rsidTr="009D3721">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BoldandItalics"/>
              </w:rPr>
              <w:t>Insurance requirements</w:t>
            </w:r>
            <w:r w:rsidRPr="009D3721">
              <w:t xml:space="preserve"> vary according to:</w:t>
            </w:r>
          </w:p>
        </w:tc>
        <w:tc>
          <w:tcPr>
            <w:tcW w:w="6408" w:type="dxa"/>
            <w:tcBorders>
              <w:top w:val="nil"/>
              <w:left w:val="nil"/>
              <w:bottom w:val="nil"/>
              <w:right w:val="nil"/>
            </w:tcBorders>
            <w:tcMar>
              <w:top w:w="0" w:type="dxa"/>
              <w:left w:w="62" w:type="dxa"/>
              <w:bottom w:w="0" w:type="dxa"/>
              <w:right w:w="62" w:type="dxa"/>
            </w:tcMar>
          </w:tcPr>
          <w:p w:rsidR="00000000" w:rsidRPr="009D3721" w:rsidP="009D3721">
            <w:pPr>
              <w:pStyle w:val="ListBullet"/>
            </w:pPr>
            <w:r w:rsidRPr="009D3721">
              <w:t>intended use of products or services</w:t>
            </w:r>
          </w:p>
          <w:p w:rsidR="00000000" w:rsidRPr="009D3721" w:rsidP="009D3721">
            <w:pPr>
              <w:pStyle w:val="ListBullet"/>
            </w:pPr>
            <w:r w:rsidRPr="009D3721">
              <w:t>location of market and business</w:t>
            </w:r>
          </w:p>
          <w:p w:rsidR="00000000" w:rsidP="009D3721">
            <w:pPr>
              <w:pStyle w:val="ListBullet"/>
              <w:rPr>
                <w:lang w:val="en-NZ"/>
              </w:rPr>
            </w:pPr>
            <w:r w:rsidRPr="009D3721">
              <w:t>types of prod</w:t>
            </w:r>
            <w:r w:rsidRPr="009D3721">
              <w:t>ucts and services provided.</w:t>
            </w:r>
          </w:p>
        </w:tc>
      </w:tr>
      <w:tr w:rsidTr="009D3721">
        <w:tblPrEx>
          <w:tblW w:w="0" w:type="auto"/>
          <w:tblLayout w:type="fixed"/>
          <w:tblCellMar>
            <w:left w:w="62" w:type="dxa"/>
            <w:right w:w="62" w:type="dxa"/>
          </w:tblCellMar>
          <w:tblLook w:val="0000"/>
        </w:tblPrEx>
        <w:trPr>
          <w:trHeight w:val="2207"/>
        </w:trPr>
        <w:tc>
          <w:tcPr>
            <w:tcW w:w="2522"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BoldandItalics"/>
              </w:rPr>
              <w:t>Rights and obligations</w:t>
            </w:r>
            <w:r w:rsidRPr="009D3721">
              <w:t xml:space="preserve"> may be determined by consulting internal or external experts in areas, such as:</w:t>
            </w:r>
          </w:p>
        </w:tc>
        <w:tc>
          <w:tcPr>
            <w:tcW w:w="6408" w:type="dxa"/>
            <w:tcBorders>
              <w:top w:val="nil"/>
              <w:left w:val="nil"/>
              <w:bottom w:val="nil"/>
              <w:right w:val="nil"/>
            </w:tcBorders>
            <w:tcMar>
              <w:top w:w="0" w:type="dxa"/>
              <w:left w:w="62" w:type="dxa"/>
              <w:bottom w:w="0" w:type="dxa"/>
              <w:right w:w="62" w:type="dxa"/>
            </w:tcMar>
          </w:tcPr>
          <w:p w:rsidR="00000000" w:rsidRPr="009D3721" w:rsidP="009D3721">
            <w:pPr>
              <w:pStyle w:val="ListBullet"/>
            </w:pPr>
            <w:r w:rsidRPr="009D3721">
              <w:t>economics</w:t>
            </w:r>
          </w:p>
          <w:p w:rsidR="00000000" w:rsidRPr="009D3721" w:rsidP="009D3721">
            <w:pPr>
              <w:pStyle w:val="ListBullet"/>
            </w:pPr>
            <w:r w:rsidRPr="009D3721">
              <w:t>finance and accounting</w:t>
            </w:r>
          </w:p>
          <w:p w:rsidR="00000000" w:rsidRPr="009D3721" w:rsidP="009D3721">
            <w:pPr>
              <w:pStyle w:val="ListBullet"/>
            </w:pPr>
            <w:r w:rsidRPr="009D3721">
              <w:t>insurance</w:t>
            </w:r>
          </w:p>
          <w:p w:rsidR="00000000" w:rsidRPr="009D3721" w:rsidP="009D3721">
            <w:pPr>
              <w:pStyle w:val="ListBullet"/>
            </w:pPr>
            <w:r w:rsidRPr="009D3721">
              <w:t>law</w:t>
            </w:r>
          </w:p>
          <w:p w:rsidR="00000000" w:rsidRPr="009D3721" w:rsidP="009D3721">
            <w:pPr>
              <w:pStyle w:val="ListBullet"/>
            </w:pPr>
            <w:r w:rsidRPr="009D3721">
              <w:t>probity</w:t>
            </w:r>
          </w:p>
          <w:p w:rsidR="00000000" w:rsidRPr="009D3721" w:rsidP="009D3721">
            <w:pPr>
              <w:pStyle w:val="ListBullet"/>
            </w:pPr>
            <w:r w:rsidRPr="009D3721">
              <w:t>technical and scientific</w:t>
            </w:r>
          </w:p>
          <w:p w:rsidR="00000000" w:rsidP="009D3721">
            <w:pPr>
              <w:pStyle w:val="ListBullet"/>
              <w:rPr>
                <w:lang w:val="en-NZ"/>
              </w:rPr>
            </w:pPr>
            <w:r w:rsidRPr="009D3721">
              <w:t>trade.</w:t>
            </w:r>
          </w:p>
        </w:tc>
      </w:tr>
      <w:tr w:rsidTr="009D3721">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BoldandItalics"/>
              </w:rPr>
              <w:t>Records</w:t>
            </w:r>
            <w:r w:rsidRPr="009D3721">
              <w:t xml:space="preserve"> may be:</w:t>
            </w:r>
          </w:p>
        </w:tc>
        <w:tc>
          <w:tcPr>
            <w:tcW w:w="6408" w:type="dxa"/>
            <w:tcBorders>
              <w:top w:val="nil"/>
              <w:left w:val="nil"/>
              <w:bottom w:val="nil"/>
              <w:right w:val="nil"/>
            </w:tcBorders>
            <w:tcMar>
              <w:top w:w="0" w:type="dxa"/>
              <w:left w:w="62" w:type="dxa"/>
              <w:bottom w:w="0" w:type="dxa"/>
              <w:right w:w="62" w:type="dxa"/>
            </w:tcMar>
          </w:tcPr>
          <w:p w:rsidR="00000000" w:rsidRPr="009D3721" w:rsidP="009D3721">
            <w:pPr>
              <w:pStyle w:val="ListBullet"/>
            </w:pPr>
            <w:r w:rsidRPr="009D3721">
              <w:t>electronic</w:t>
            </w:r>
          </w:p>
          <w:p w:rsidR="00000000" w:rsidP="009D3721">
            <w:pPr>
              <w:pStyle w:val="ListBullet"/>
              <w:rPr>
                <w:lang w:val="en-NZ"/>
              </w:rPr>
            </w:pPr>
            <w:r w:rsidRPr="009D3721">
              <w:t>manual.</w:t>
            </w:r>
          </w:p>
        </w:tc>
      </w:tr>
      <w:tr w:rsidTr="009D3721">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t xml:space="preserve">Sources of </w:t>
            </w:r>
            <w:r w:rsidRPr="009D3721">
              <w:rPr>
                <w:rStyle w:val="BoldandItalics"/>
              </w:rPr>
              <w:t>information</w:t>
            </w:r>
            <w:r w:rsidRPr="009D3721">
              <w:t xml:space="preserve"> may be:</w:t>
            </w:r>
          </w:p>
        </w:tc>
        <w:tc>
          <w:tcPr>
            <w:tcW w:w="6408" w:type="dxa"/>
            <w:tcBorders>
              <w:top w:val="nil"/>
              <w:left w:val="nil"/>
              <w:bottom w:val="nil"/>
              <w:right w:val="nil"/>
            </w:tcBorders>
            <w:tcMar>
              <w:top w:w="0" w:type="dxa"/>
              <w:left w:w="62" w:type="dxa"/>
              <w:bottom w:w="0" w:type="dxa"/>
              <w:right w:w="62" w:type="dxa"/>
            </w:tcMar>
          </w:tcPr>
          <w:p w:rsidR="00000000" w:rsidRPr="009D3721" w:rsidP="009D3721">
            <w:pPr>
              <w:pStyle w:val="ListBullet"/>
            </w:pPr>
            <w:r w:rsidRPr="009D3721">
              <w:t>direct or indirect</w:t>
            </w:r>
          </w:p>
          <w:p w:rsidR="00000000" w:rsidRPr="009D3721" w:rsidP="009D3721">
            <w:pPr>
              <w:pStyle w:val="ListBullet"/>
            </w:pPr>
            <w:r w:rsidRPr="009D3721">
              <w:t>electronic or hard copy</w:t>
            </w:r>
          </w:p>
          <w:p w:rsidR="00000000" w:rsidRPr="009D3721" w:rsidP="009D3721">
            <w:pPr>
              <w:pStyle w:val="ListBullet"/>
            </w:pPr>
            <w:r w:rsidRPr="009D3721">
              <w:t>feedback</w:t>
            </w:r>
          </w:p>
          <w:p w:rsidR="00000000" w:rsidRPr="009D3721" w:rsidP="009D3721">
            <w:pPr>
              <w:pStyle w:val="ListBullet"/>
            </w:pPr>
            <w:r w:rsidRPr="009D3721">
              <w:t>non</w:t>
            </w:r>
            <w:r w:rsidRPr="009D3721">
              <w:noBreakHyphen/>
              <w:t>verbal communication</w:t>
            </w:r>
          </w:p>
          <w:p w:rsidR="00000000" w:rsidRPr="009D3721" w:rsidP="009D3721">
            <w:pPr>
              <w:pStyle w:val="ListBullet"/>
            </w:pPr>
            <w:r w:rsidRPr="009D3721">
              <w:t>verbal communication, including:</w:t>
            </w:r>
          </w:p>
          <w:p w:rsidR="00000000" w:rsidRPr="009D3721" w:rsidP="009D3721">
            <w:pPr>
              <w:pStyle w:val="ListBullet2"/>
            </w:pPr>
            <w:r w:rsidRPr="009D3721">
              <w:t>face-to-face</w:t>
            </w:r>
          </w:p>
          <w:p w:rsidR="00000000" w:rsidRPr="009D3721" w:rsidP="009D3721">
            <w:pPr>
              <w:pStyle w:val="ListBullet2"/>
            </w:pPr>
            <w:r w:rsidRPr="009D3721">
              <w:t>radio</w:t>
            </w:r>
          </w:p>
          <w:p w:rsidR="00000000" w:rsidRPr="009D3721" w:rsidP="009D3721">
            <w:pPr>
              <w:pStyle w:val="ListBullet2"/>
            </w:pPr>
            <w:r w:rsidRPr="009D3721">
              <w:t>telephone</w:t>
            </w:r>
          </w:p>
          <w:p w:rsidR="00000000" w:rsidRPr="009D3721" w:rsidP="009D3721">
            <w:pPr>
              <w:pStyle w:val="ListBullet"/>
            </w:pPr>
            <w:r w:rsidRPr="009D3721">
              <w:t>written instructions and communication, such as:</w:t>
            </w:r>
          </w:p>
          <w:p w:rsidR="00000000" w:rsidRPr="009D3721" w:rsidP="009D3721">
            <w:pPr>
              <w:pStyle w:val="ListBullet2"/>
            </w:pPr>
            <w:r w:rsidRPr="009D3721">
              <w:t>data exchange</w:t>
            </w:r>
          </w:p>
          <w:p w:rsidR="00000000" w:rsidRPr="009D3721" w:rsidP="009D3721">
            <w:pPr>
              <w:pStyle w:val="ListBullet2"/>
            </w:pPr>
            <w:r w:rsidRPr="009D3721">
              <w:t>emails</w:t>
            </w:r>
          </w:p>
          <w:p w:rsidR="00000000" w:rsidP="009D3721">
            <w:pPr>
              <w:pStyle w:val="ListBullet2"/>
              <w:rPr>
                <w:lang w:val="en-NZ"/>
              </w:rPr>
            </w:pPr>
            <w:r w:rsidRPr="009D3721">
              <w:t>letters.</w:t>
            </w:r>
          </w:p>
        </w:tc>
      </w:tr>
      <w:tr w:rsidTr="009D3721">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9D3721">
            <w:pPr>
              <w:pStyle w:val="BodyText"/>
              <w:rPr>
                <w:lang w:val="en-NZ"/>
              </w:rPr>
            </w:pPr>
            <w:r w:rsidRPr="009D3721">
              <w:rPr>
                <w:rStyle w:val="BoldandItalics"/>
              </w:rPr>
              <w:t>Brand</w:t>
            </w:r>
            <w:r w:rsidRPr="009D3721">
              <w:t xml:space="preserve"> may encompass:</w:t>
            </w:r>
          </w:p>
        </w:tc>
        <w:tc>
          <w:tcPr>
            <w:tcW w:w="6408" w:type="dxa"/>
            <w:tcBorders>
              <w:top w:val="nil"/>
              <w:left w:val="nil"/>
              <w:bottom w:val="nil"/>
              <w:right w:val="nil"/>
            </w:tcBorders>
            <w:tcMar>
              <w:top w:w="0" w:type="dxa"/>
              <w:left w:w="62" w:type="dxa"/>
              <w:bottom w:w="0" w:type="dxa"/>
              <w:right w:w="62" w:type="dxa"/>
            </w:tcMar>
          </w:tcPr>
          <w:p w:rsidR="00000000" w:rsidRPr="009D3721" w:rsidP="009D3721">
            <w:pPr>
              <w:pStyle w:val="ListBullet"/>
            </w:pPr>
            <w:r w:rsidRPr="009D3721">
              <w:t>company brands</w:t>
            </w:r>
          </w:p>
          <w:p w:rsidR="00000000" w:rsidRPr="009D3721" w:rsidP="009D3721">
            <w:pPr>
              <w:pStyle w:val="ListBullet"/>
            </w:pPr>
            <w:r w:rsidRPr="009D3721">
              <w:t>intellectual property</w:t>
            </w:r>
          </w:p>
          <w:p w:rsidR="00000000" w:rsidRPr="009D3721" w:rsidP="009D3721">
            <w:pPr>
              <w:pStyle w:val="ListBullet"/>
            </w:pPr>
            <w:r w:rsidRPr="009D3721">
              <w:t>product brands</w:t>
            </w:r>
          </w:p>
          <w:p w:rsidR="00000000" w:rsidRPr="009D3721" w:rsidP="009D3721">
            <w:pPr>
              <w:pStyle w:val="ListBullet"/>
            </w:pPr>
            <w:r w:rsidRPr="009D3721">
              <w:t>registered brands</w:t>
            </w:r>
          </w:p>
          <w:p w:rsidR="00000000" w:rsidRPr="009D3721" w:rsidP="009D3721">
            <w:pPr>
              <w:pStyle w:val="ListBullet"/>
            </w:pPr>
            <w:r w:rsidRPr="009D3721">
              <w:t>registered trademarks</w:t>
            </w:r>
          </w:p>
          <w:p w:rsidR="00000000" w:rsidRPr="009D3721" w:rsidP="009D3721">
            <w:pPr>
              <w:pStyle w:val="ListBullet"/>
            </w:pPr>
            <w:r w:rsidRPr="009D3721">
              <w:t>supplier brands.</w:t>
            </w:r>
          </w:p>
        </w:tc>
      </w:tr>
    </w:tbl>
    <w:p w:rsidR="00000000" w:rsidRPr="009D3721" w:rsidP="009D3721">
      <w:pPr>
        <w:pStyle w:val="BodyText"/>
      </w:pPr>
    </w:p>
    <w:p w:rsidR="00000000" w:rsidRPr="009D3721" w:rsidP="009D3721">
      <w:pPr>
        <w:pStyle w:val="AllowPageBreak"/>
      </w:pPr>
    </w:p>
    <w:p w:rsidR="00000000" w:rsidRPr="009D3721" w:rsidP="009D3721">
      <w:pPr>
        <w:pStyle w:val="Heading1"/>
      </w:pPr>
      <w:bookmarkStart w:id="12" w:name="O_394273"/>
      <w:bookmarkEnd w:id="12"/>
      <w:r w:rsidRPr="009D3721">
        <w:t>Unit Sector(s)</w:t>
      </w:r>
    </w:p>
    <w:p w:rsidR="00000000" w:rsidRPr="009D3721" w:rsidP="009D3721">
      <w:pPr>
        <w:pStyle w:val="BodyText"/>
      </w:pPr>
      <w:r w:rsidRPr="009D3721">
        <w:t>Cross-Sector</w:t>
      </w:r>
    </w:p>
    <w:p w:rsidR="00000000" w:rsidRPr="009D3721" w:rsidP="009D3721">
      <w:pPr>
        <w:pStyle w:val="AllowPageBreak"/>
      </w:pPr>
    </w:p>
    <w:p w:rsidR="00000000" w:rsidRPr="009D3721" w:rsidP="009D3721">
      <w:pPr>
        <w:pStyle w:val="Heading1"/>
      </w:pPr>
      <w:bookmarkStart w:id="13" w:name="O_394274"/>
      <w:bookmarkEnd w:id="13"/>
      <w:r w:rsidRPr="009D3721">
        <w:t>Competency Field</w:t>
      </w:r>
    </w:p>
    <w:p w:rsidR="00000000" w:rsidRPr="009D3721" w:rsidP="009D3721">
      <w:pPr>
        <w:pStyle w:val="BodyText"/>
      </w:pPr>
      <w:r w:rsidRPr="009D3721">
        <w:t>Governance and Legal Compliance</w:t>
      </w:r>
    </w:p>
    <w:p w:rsidR="00000000" w:rsidRPr="009D3721" w:rsidP="009D3721"/>
    <w:sectPr w:rsidSect="009D37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B2B" w:rsidP="00853B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2B" w:rsidP="009D37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53B2B" w:rsidP="009D37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53B2B" w:rsidP="009D37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21" w:rsidRPr="00853B2B" w:rsidP="00853B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2B" w:rsidP="009D3721">
    <w:pPr>
      <w:pStyle w:val="Header"/>
      <w:framePr w:wrap="around"/>
    </w:pPr>
    <w:r>
      <w:fldChar w:fldCharType="begin"/>
    </w:r>
    <w:r>
      <w:instrText xml:space="preserve"> TITLE   \* MERGEFORMAT </w:instrText>
    </w:r>
    <w:r>
      <w:fldChar w:fldCharType="separate"/>
    </w:r>
    <w:r>
      <w:t>SIRXGLC401 Monitor compliance with legislative requirements for the establishment of a retail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853B2B" w:rsidP="009D37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3A5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9C1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44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721"/>
    <w:pPr>
      <w:spacing w:before="360" w:after="60"/>
      <w:outlineLvl w:val="0"/>
    </w:pPr>
    <w:rPr>
      <w:sz w:val="32"/>
    </w:rPr>
  </w:style>
  <w:style w:type="paragraph" w:styleId="Heading2">
    <w:name w:val="heading 2"/>
    <w:basedOn w:val="HeadingBase"/>
    <w:next w:val="BodyText"/>
    <w:link w:val="Heading2Char"/>
    <w:qFormat/>
    <w:rsid w:val="009D3721"/>
    <w:pPr>
      <w:keepLines/>
      <w:spacing w:before="240" w:after="120"/>
      <w:outlineLvl w:val="1"/>
    </w:pPr>
    <w:rPr>
      <w:sz w:val="28"/>
      <w:szCs w:val="40"/>
    </w:rPr>
  </w:style>
  <w:style w:type="paragraph" w:styleId="Heading3">
    <w:name w:val="heading 3"/>
    <w:basedOn w:val="HeadingBase"/>
    <w:next w:val="BodyText"/>
    <w:link w:val="Heading3Char"/>
    <w:qFormat/>
    <w:rsid w:val="009D3721"/>
    <w:pPr>
      <w:spacing w:before="180" w:after="120"/>
      <w:outlineLvl w:val="2"/>
    </w:pPr>
    <w:rPr>
      <w:spacing w:val="-10"/>
      <w:kern w:val="32"/>
    </w:rPr>
  </w:style>
  <w:style w:type="paragraph" w:styleId="Heading4">
    <w:name w:val="heading 4"/>
    <w:basedOn w:val="HeadingBase"/>
    <w:next w:val="BodyText"/>
    <w:link w:val="Heading4Char"/>
    <w:qFormat/>
    <w:rsid w:val="009D3721"/>
    <w:pPr>
      <w:spacing w:before="160" w:after="120"/>
      <w:outlineLvl w:val="3"/>
    </w:pPr>
    <w:rPr>
      <w:sz w:val="22"/>
    </w:rPr>
  </w:style>
  <w:style w:type="paragraph" w:styleId="Heading5">
    <w:name w:val="heading 5"/>
    <w:basedOn w:val="HeadingBase"/>
    <w:next w:val="Normal"/>
    <w:link w:val="Heading5Char"/>
    <w:qFormat/>
    <w:rsid w:val="009D3721"/>
    <w:pPr>
      <w:spacing w:before="80"/>
      <w:outlineLvl w:val="4"/>
    </w:pPr>
    <w:rPr>
      <w:color w:val="918585"/>
      <w:sz w:val="20"/>
    </w:rPr>
  </w:style>
  <w:style w:type="paragraph" w:styleId="Heading6">
    <w:name w:val="heading 6"/>
    <w:basedOn w:val="HeadingBase"/>
    <w:next w:val="Normal"/>
    <w:link w:val="Heading6Char"/>
    <w:qFormat/>
    <w:rsid w:val="009D3721"/>
    <w:pPr>
      <w:spacing w:before="60"/>
      <w:outlineLvl w:val="5"/>
    </w:pPr>
    <w:rPr>
      <w:color w:val="918585"/>
      <w:sz w:val="20"/>
    </w:rPr>
  </w:style>
  <w:style w:type="paragraph" w:styleId="Heading7">
    <w:name w:val="heading 7"/>
    <w:basedOn w:val="Normal"/>
    <w:next w:val="Normal"/>
    <w:link w:val="Heading7Char"/>
    <w:qFormat/>
    <w:rsid w:val="009D3721"/>
    <w:pPr>
      <w:ind w:left="720"/>
      <w:outlineLvl w:val="6"/>
    </w:pPr>
    <w:rPr>
      <w:i/>
    </w:rPr>
  </w:style>
  <w:style w:type="paragraph" w:styleId="Heading8">
    <w:name w:val="heading 8"/>
    <w:basedOn w:val="Normal"/>
    <w:next w:val="Normal"/>
    <w:link w:val="Heading8Char"/>
    <w:qFormat/>
    <w:rsid w:val="009D3721"/>
    <w:pPr>
      <w:ind w:left="720"/>
      <w:outlineLvl w:val="7"/>
    </w:pPr>
    <w:rPr>
      <w:i/>
    </w:rPr>
  </w:style>
  <w:style w:type="paragraph" w:styleId="Heading9">
    <w:name w:val="heading 9"/>
    <w:basedOn w:val="Normal"/>
    <w:next w:val="Normal"/>
    <w:link w:val="Heading9Char"/>
    <w:qFormat/>
    <w:rsid w:val="009D3721"/>
    <w:pPr>
      <w:ind w:left="720"/>
      <w:outlineLvl w:val="8"/>
    </w:pPr>
    <w:rPr>
      <w:i/>
    </w:rPr>
  </w:style>
  <w:style w:type="character" w:default="1" w:styleId="DefaultParagraphFont">
    <w:name w:val="Default Paragraph Font"/>
    <w:uiPriority w:val="1"/>
    <w:unhideWhenUsed/>
    <w:rsid w:val="009D3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721"/>
  </w:style>
  <w:style w:type="character" w:customStyle="1" w:styleId="Heading1Char">
    <w:name w:val="Heading 1 Char"/>
    <w:basedOn w:val="DefaultParagraphFont"/>
    <w:link w:val="Heading1"/>
    <w:rsid w:val="009D3721"/>
    <w:rPr>
      <w:rFonts w:ascii="Times New Roman" w:eastAsia="Times New Roman" w:hAnsi="Times New Roman" w:cs="Times New Roman"/>
      <w:b/>
      <w:sz w:val="32"/>
      <w:szCs w:val="20"/>
      <w:lang w:eastAsia="en-US"/>
    </w:rPr>
  </w:style>
  <w:style w:type="paragraph" w:styleId="BodyText">
    <w:name w:val="Body Text"/>
    <w:basedOn w:val="Normal"/>
    <w:link w:val="BodyTextChar"/>
    <w:rsid w:val="009D37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3721"/>
    <w:rPr>
      <w:rFonts w:ascii="Times New Roman" w:eastAsia="Times New Roman" w:hAnsi="Times New Roman" w:cs="Times New Roman"/>
      <w:sz w:val="24"/>
      <w:lang w:eastAsia="en-US"/>
    </w:rPr>
  </w:style>
  <w:style w:type="paragraph" w:styleId="Footer">
    <w:name w:val="footer"/>
    <w:basedOn w:val="Normal"/>
    <w:link w:val="FooterChar"/>
    <w:rsid w:val="009D3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721"/>
    <w:rPr>
      <w:rFonts w:ascii="Times New Roman" w:eastAsia="Times New Roman" w:hAnsi="Times New Roman" w:cs="Times New Roman"/>
      <w:sz w:val="16"/>
      <w:lang w:eastAsia="en-US"/>
    </w:rPr>
  </w:style>
  <w:style w:type="paragraph" w:styleId="List">
    <w:name w:val="List"/>
    <w:basedOn w:val="BodyText"/>
    <w:next w:val="BodyText"/>
    <w:rsid w:val="009D3721"/>
    <w:pPr>
      <w:tabs>
        <w:tab w:val="left" w:pos="340"/>
      </w:tabs>
      <w:spacing w:before="60" w:after="60"/>
      <w:ind w:left="340" w:hanging="340"/>
    </w:pPr>
  </w:style>
  <w:style w:type="paragraph" w:styleId="ListBullet">
    <w:name w:val="List Bullet"/>
    <w:basedOn w:val="List"/>
    <w:rsid w:val="009D3721"/>
    <w:pPr>
      <w:numPr>
        <w:numId w:val="13"/>
      </w:numPr>
      <w:tabs>
        <w:tab w:val="clear" w:pos="340"/>
      </w:tabs>
      <w:spacing w:before="40" w:after="40"/>
    </w:pPr>
  </w:style>
  <w:style w:type="character" w:customStyle="1" w:styleId="SpecialBold">
    <w:name w:val="Special Bold"/>
    <w:basedOn w:val="DefaultParagraphFont"/>
    <w:rsid w:val="009D3721"/>
    <w:rPr>
      <w:b/>
      <w:spacing w:val="0"/>
    </w:rPr>
  </w:style>
  <w:style w:type="paragraph" w:styleId="ListBullet2">
    <w:name w:val="List Bullet 2"/>
    <w:basedOn w:val="List2"/>
    <w:rsid w:val="009D3721"/>
    <w:pPr>
      <w:numPr>
        <w:numId w:val="14"/>
      </w:numPr>
      <w:tabs>
        <w:tab w:val="clear" w:pos="680"/>
      </w:tabs>
    </w:pPr>
  </w:style>
  <w:style w:type="paragraph" w:customStyle="1" w:styleId="SuperHeading">
    <w:name w:val="SuperHeading"/>
    <w:basedOn w:val="Normal"/>
    <w:rsid w:val="009D3721"/>
    <w:pPr>
      <w:spacing w:before="240" w:after="120"/>
      <w:outlineLvl w:val="0"/>
    </w:pPr>
    <w:rPr>
      <w:rFonts w:ascii="Times New Roman" w:hAnsi="Times New Roman"/>
      <w:b/>
      <w:sz w:val="28"/>
    </w:rPr>
  </w:style>
  <w:style w:type="paragraph" w:customStyle="1" w:styleId="AllowPageBreak">
    <w:name w:val="AllowPageBreak"/>
    <w:rsid w:val="009D37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3721"/>
    <w:rPr>
      <w:b/>
      <w:i/>
      <w:u w:val="none"/>
    </w:rPr>
  </w:style>
  <w:style w:type="character" w:customStyle="1" w:styleId="Heading2Char">
    <w:name w:val="Heading 2 Char"/>
    <w:basedOn w:val="DefaultParagraphFont"/>
    <w:link w:val="Heading2"/>
    <w:rsid w:val="009D3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721"/>
    <w:rPr>
      <w:rFonts w:ascii="Courier New" w:eastAsia="Times New Roman" w:hAnsi="Courier New" w:cs="Times New Roman"/>
      <w:i/>
      <w:szCs w:val="20"/>
      <w:lang w:eastAsia="en-US"/>
    </w:rPr>
  </w:style>
  <w:style w:type="paragraph" w:customStyle="1" w:styleId="HeadingBase">
    <w:name w:val="Heading Base"/>
    <w:rsid w:val="009D3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721"/>
    <w:pPr>
      <w:tabs>
        <w:tab w:val="right" w:leader="dot" w:pos="9072"/>
      </w:tabs>
      <w:ind w:left="567"/>
    </w:pPr>
    <w:rPr>
      <w:szCs w:val="22"/>
    </w:rPr>
  </w:style>
  <w:style w:type="paragraph" w:customStyle="1" w:styleId="TOCBase">
    <w:name w:val="TOC Base"/>
    <w:rsid w:val="009D3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721"/>
    <w:pPr>
      <w:tabs>
        <w:tab w:val="right" w:leader="dot" w:pos="9072"/>
      </w:tabs>
      <w:spacing w:before="40" w:after="40"/>
      <w:ind w:left="284"/>
    </w:pPr>
    <w:rPr>
      <w:rFonts w:ascii="Times New Roman" w:hAnsi="Times New Roman"/>
    </w:rPr>
  </w:style>
  <w:style w:type="paragraph" w:styleId="TOC1">
    <w:name w:val="toc 1"/>
    <w:basedOn w:val="TOCBase"/>
    <w:next w:val="Normal"/>
    <w:rsid w:val="009D37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3721"/>
    <w:pPr>
      <w:spacing w:before="5040"/>
      <w:jc w:val="center"/>
    </w:pPr>
    <w:rPr>
      <w:sz w:val="48"/>
      <w:szCs w:val="72"/>
      <w:lang w:val="en-US"/>
    </w:rPr>
  </w:style>
  <w:style w:type="character" w:customStyle="1" w:styleId="TitleChar">
    <w:name w:val="Title Char"/>
    <w:basedOn w:val="DefaultParagraphFont"/>
    <w:link w:val="Title"/>
    <w:rsid w:val="009D3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721"/>
    <w:pPr>
      <w:tabs>
        <w:tab w:val="left" w:pos="3600"/>
        <w:tab w:val="left" w:pos="3958"/>
      </w:tabs>
    </w:pPr>
  </w:style>
  <w:style w:type="paragraph" w:customStyle="1" w:styleId="Note">
    <w:name w:val="Note"/>
    <w:basedOn w:val="BodyText"/>
    <w:rsid w:val="009D3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721"/>
    <w:pPr>
      <w:framePr w:wrap="auto" w:hAnchor="text" w:y="6049"/>
    </w:pPr>
    <w:rPr>
      <w:color w:val="000000"/>
      <w:sz w:val="40"/>
    </w:rPr>
  </w:style>
  <w:style w:type="paragraph" w:customStyle="1" w:styleId="TOCTitle">
    <w:name w:val="TOCTitle"/>
    <w:basedOn w:val="Heading1"/>
    <w:rsid w:val="009D3721"/>
    <w:pPr>
      <w:spacing w:after="240"/>
      <w:jc w:val="center"/>
      <w:outlineLvl w:val="9"/>
    </w:pPr>
    <w:rPr>
      <w:caps/>
    </w:rPr>
  </w:style>
  <w:style w:type="paragraph" w:customStyle="1" w:styleId="Version">
    <w:name w:val="Version"/>
    <w:rsid w:val="009D37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721"/>
    <w:pPr>
      <w:keepNext w:val="0"/>
      <w:tabs>
        <w:tab w:val="right" w:pos="4176"/>
      </w:tabs>
      <w:ind w:left="198" w:hanging="198"/>
    </w:pPr>
    <w:rPr>
      <w:rFonts w:ascii="Garamond" w:hAnsi="Garamond"/>
    </w:rPr>
  </w:style>
  <w:style w:type="paragraph" w:styleId="IndexHeading">
    <w:name w:val="index heading"/>
    <w:basedOn w:val="Normal"/>
    <w:next w:val="Index1"/>
    <w:semiHidden/>
    <w:rsid w:val="009D3721"/>
    <w:pPr>
      <w:spacing w:before="120" w:after="120"/>
    </w:pPr>
    <w:rPr>
      <w:rFonts w:ascii="Arial" w:hAnsi="Arial"/>
      <w:b/>
      <w:color w:val="918585"/>
      <w:sz w:val="24"/>
    </w:rPr>
  </w:style>
  <w:style w:type="paragraph" w:styleId="Header">
    <w:name w:val="header"/>
    <w:basedOn w:val="Normal"/>
    <w:link w:val="HeaderChar"/>
    <w:rsid w:val="009D3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721"/>
    <w:rPr>
      <w:rFonts w:ascii="Times New Roman" w:eastAsia="Times New Roman" w:hAnsi="Times New Roman" w:cs="Times New Roman"/>
      <w:sz w:val="16"/>
      <w:szCs w:val="20"/>
      <w:lang w:val="en-GB" w:eastAsia="en-US"/>
    </w:rPr>
  </w:style>
  <w:style w:type="paragraph" w:customStyle="1" w:styleId="Chapter">
    <w:name w:val="Chapter"/>
    <w:basedOn w:val="Normal"/>
    <w:rsid w:val="009D3721"/>
    <w:pPr>
      <w:spacing w:before="240"/>
    </w:pPr>
    <w:rPr>
      <w:rFonts w:ascii="Times New Roman" w:hAnsi="Times New Roman"/>
      <w:smallCaps/>
      <w:spacing w:val="80"/>
      <w:sz w:val="28"/>
    </w:rPr>
  </w:style>
  <w:style w:type="paragraph" w:customStyle="1" w:styleId="InChapter">
    <w:name w:val="InChapter"/>
    <w:basedOn w:val="Heading3"/>
    <w:rsid w:val="009D3721"/>
    <w:pPr>
      <w:spacing w:after="240"/>
      <w:outlineLvl w:val="9"/>
    </w:pPr>
    <w:rPr>
      <w:noProof/>
    </w:rPr>
  </w:style>
  <w:style w:type="paragraph" w:styleId="Index2">
    <w:name w:val="index 2"/>
    <w:basedOn w:val="Normal"/>
    <w:next w:val="Normal"/>
    <w:semiHidden/>
    <w:rsid w:val="009D3721"/>
    <w:pPr>
      <w:tabs>
        <w:tab w:val="right" w:pos="4176"/>
      </w:tabs>
      <w:ind w:left="568" w:hanging="284"/>
    </w:pPr>
    <w:rPr>
      <w:rFonts w:ascii="Garamond" w:hAnsi="Garamond"/>
    </w:rPr>
  </w:style>
  <w:style w:type="paragraph" w:customStyle="1" w:styleId="Byline">
    <w:name w:val="Byline"/>
    <w:rsid w:val="009D3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721"/>
    <w:pPr>
      <w:tabs>
        <w:tab w:val="clear" w:pos="3600"/>
        <w:tab w:val="clear" w:pos="3958"/>
      </w:tabs>
      <w:jc w:val="right"/>
    </w:pPr>
  </w:style>
  <w:style w:type="character" w:styleId="Emphasis">
    <w:name w:val="Emphasis"/>
    <w:basedOn w:val="DefaultParagraphFont"/>
    <w:qFormat/>
    <w:rsid w:val="009D3721"/>
    <w:rPr>
      <w:i/>
    </w:rPr>
  </w:style>
  <w:style w:type="paragraph" w:styleId="Caption">
    <w:name w:val="caption"/>
    <w:basedOn w:val="BodyText"/>
    <w:next w:val="Normal"/>
    <w:qFormat/>
    <w:rsid w:val="009D3721"/>
    <w:pPr>
      <w:framePr w:w="2268" w:hSpace="181" w:vSpace="181" w:wrap="around" w:vAnchor="text" w:hAnchor="page" w:x="1135" w:y="285" w:anchorLock="1"/>
    </w:pPr>
    <w:rPr>
      <w:i/>
    </w:rPr>
  </w:style>
  <w:style w:type="paragraph" w:customStyle="1" w:styleId="MiniTOCTitle">
    <w:name w:val="MiniTOCTitle"/>
    <w:basedOn w:val="Heading4"/>
    <w:rsid w:val="009D3721"/>
    <w:pPr>
      <w:spacing w:before="240"/>
      <w:outlineLvl w:val="9"/>
    </w:pPr>
    <w:rPr>
      <w:noProof/>
      <w:sz w:val="24"/>
    </w:rPr>
  </w:style>
  <w:style w:type="paragraph" w:customStyle="1" w:styleId="MiniTOCItem">
    <w:name w:val="MiniTOCItem"/>
    <w:basedOn w:val="ListBullet"/>
    <w:rsid w:val="009D3721"/>
    <w:pPr>
      <w:numPr>
        <w:numId w:val="0"/>
      </w:numPr>
      <w:tabs>
        <w:tab w:val="right" w:leader="dot" w:pos="6521"/>
      </w:tabs>
      <w:spacing w:before="0" w:after="0"/>
    </w:pPr>
  </w:style>
  <w:style w:type="paragraph" w:customStyle="1" w:styleId="TOFTitle">
    <w:name w:val="TOFTitle"/>
    <w:basedOn w:val="TOCTitle"/>
    <w:rsid w:val="009D3721"/>
  </w:style>
  <w:style w:type="paragraph" w:styleId="TableofFigures">
    <w:name w:val="table of figures"/>
    <w:basedOn w:val="Normal"/>
    <w:next w:val="Normal"/>
    <w:semiHidden/>
    <w:rsid w:val="009D3721"/>
    <w:pPr>
      <w:tabs>
        <w:tab w:val="right" w:leader="dot" w:pos="9072"/>
      </w:tabs>
      <w:ind w:left="970" w:hanging="403"/>
    </w:pPr>
    <w:rPr>
      <w:rFonts w:ascii="Times New Roman" w:hAnsi="Times New Roman"/>
      <w:b/>
    </w:rPr>
  </w:style>
  <w:style w:type="paragraph" w:styleId="ListNumber">
    <w:name w:val="List Number"/>
    <w:basedOn w:val="List"/>
    <w:rsid w:val="009D3721"/>
    <w:pPr>
      <w:numPr>
        <w:numId w:val="11"/>
      </w:numPr>
    </w:pPr>
  </w:style>
  <w:style w:type="character" w:customStyle="1" w:styleId="WingdingSymbols">
    <w:name w:val="Wingding Symbols"/>
    <w:rsid w:val="009D3721"/>
    <w:rPr>
      <w:rFonts w:ascii="Wingdings" w:hAnsi="Wingdings"/>
    </w:rPr>
  </w:style>
  <w:style w:type="paragraph" w:customStyle="1" w:styleId="TableHeading">
    <w:name w:val="Table Heading"/>
    <w:basedOn w:val="HeadingBase"/>
    <w:rsid w:val="009D3721"/>
    <w:pPr>
      <w:keepLines/>
      <w:pBdr>
        <w:bottom w:val="single" w:sz="6" w:space="1" w:color="918585"/>
      </w:pBdr>
      <w:spacing w:before="240"/>
    </w:pPr>
  </w:style>
  <w:style w:type="character" w:customStyle="1" w:styleId="HotSpot">
    <w:name w:val="HotSpot"/>
    <w:rsid w:val="009D3721"/>
    <w:rPr>
      <w:color w:val="0033CC"/>
      <w:u w:val="none"/>
    </w:rPr>
  </w:style>
  <w:style w:type="paragraph" w:customStyle="1" w:styleId="BodyTextRight">
    <w:name w:val="Body Text Right"/>
    <w:basedOn w:val="BodyText"/>
    <w:rsid w:val="009D3721"/>
    <w:pPr>
      <w:spacing w:before="0" w:after="0"/>
      <w:jc w:val="right"/>
    </w:pPr>
  </w:style>
  <w:style w:type="paragraph" w:styleId="Index3">
    <w:name w:val="index 3"/>
    <w:basedOn w:val="ListNumber2"/>
    <w:next w:val="Normal"/>
    <w:semiHidden/>
    <w:rsid w:val="009D3721"/>
    <w:pPr>
      <w:numPr>
        <w:numId w:val="0"/>
      </w:numPr>
      <w:tabs>
        <w:tab w:val="right" w:leader="dot" w:pos="4176"/>
      </w:tabs>
    </w:pPr>
  </w:style>
  <w:style w:type="paragraph" w:styleId="ListNumber2">
    <w:name w:val="List Number 2"/>
    <w:basedOn w:val="List2"/>
    <w:rsid w:val="009D3721"/>
    <w:pPr>
      <w:numPr>
        <w:numId w:val="10"/>
      </w:numPr>
      <w:tabs>
        <w:tab w:val="clear" w:pos="1060"/>
      </w:tabs>
    </w:pPr>
  </w:style>
  <w:style w:type="paragraph" w:customStyle="1" w:styleId="MarginNote">
    <w:name w:val="Margin Note"/>
    <w:basedOn w:val="BodyText"/>
    <w:rsid w:val="009D3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721"/>
    <w:rPr>
      <w:sz w:val="32"/>
    </w:rPr>
  </w:style>
  <w:style w:type="paragraph" w:customStyle="1" w:styleId="HeadingProcedure">
    <w:name w:val="Heading Procedure"/>
    <w:basedOn w:val="HeadingBase"/>
    <w:next w:val="Normal"/>
    <w:rsid w:val="009D3721"/>
    <w:pPr>
      <w:tabs>
        <w:tab w:val="left" w:pos="0"/>
      </w:tabs>
      <w:spacing w:before="120" w:after="60"/>
    </w:pPr>
    <w:rPr>
      <w:i/>
      <w:color w:val="918585"/>
      <w:sz w:val="22"/>
    </w:rPr>
  </w:style>
  <w:style w:type="paragraph" w:customStyle="1" w:styleId="TableBodyText">
    <w:name w:val="Table Body Text"/>
    <w:basedOn w:val="BodyText"/>
    <w:rsid w:val="009D3721"/>
    <w:pPr>
      <w:spacing w:before="60" w:after="60"/>
    </w:pPr>
  </w:style>
  <w:style w:type="paragraph" w:styleId="ListContinue">
    <w:name w:val="List Continue"/>
    <w:basedOn w:val="List"/>
    <w:rsid w:val="009D3721"/>
    <w:pPr>
      <w:ind w:firstLine="0"/>
    </w:pPr>
  </w:style>
  <w:style w:type="paragraph" w:customStyle="1" w:styleId="ListNote">
    <w:name w:val="List Note"/>
    <w:basedOn w:val="List"/>
    <w:rsid w:val="009D3721"/>
    <w:pPr>
      <w:pBdr>
        <w:top w:val="single" w:sz="6" w:space="2" w:color="918585"/>
        <w:bottom w:val="single" w:sz="6" w:space="2" w:color="918585"/>
      </w:pBdr>
      <w:tabs>
        <w:tab w:val="left" w:pos="1021"/>
      </w:tabs>
      <w:ind w:firstLine="0"/>
    </w:pPr>
  </w:style>
  <w:style w:type="paragraph" w:customStyle="1" w:styleId="Warning">
    <w:name w:val="Warning"/>
    <w:basedOn w:val="BodyText"/>
    <w:rsid w:val="009D3721"/>
    <w:pPr>
      <w:shd w:val="clear" w:color="auto" w:fill="D9D9D9"/>
      <w:tabs>
        <w:tab w:val="left" w:pos="992"/>
      </w:tabs>
      <w:ind w:left="119" w:right="119"/>
    </w:pPr>
    <w:rPr>
      <w:sz w:val="20"/>
    </w:rPr>
  </w:style>
  <w:style w:type="paragraph" w:customStyle="1" w:styleId="MarginIcons">
    <w:name w:val="Margin Icons"/>
    <w:basedOn w:val="BodyText"/>
    <w:rsid w:val="009D3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721"/>
    <w:rPr>
      <w:rFonts w:ascii="Courier New" w:hAnsi="Courier New"/>
    </w:rPr>
  </w:style>
  <w:style w:type="paragraph" w:customStyle="1" w:styleId="NoteBullet">
    <w:name w:val="Note Bullet"/>
    <w:basedOn w:val="Note"/>
    <w:rsid w:val="009D3721"/>
    <w:pPr>
      <w:tabs>
        <w:tab w:val="clear" w:pos="680"/>
      </w:tabs>
      <w:spacing w:before="60" w:after="60"/>
    </w:pPr>
  </w:style>
  <w:style w:type="paragraph" w:customStyle="1" w:styleId="SubHeading2">
    <w:name w:val="SubHeading2"/>
    <w:basedOn w:val="HeadingBase"/>
    <w:rsid w:val="009D3721"/>
    <w:pPr>
      <w:spacing w:before="240" w:after="60"/>
    </w:pPr>
    <w:rPr>
      <w:sz w:val="20"/>
    </w:rPr>
  </w:style>
  <w:style w:type="paragraph" w:customStyle="1" w:styleId="SubHeading1">
    <w:name w:val="SubHeading1"/>
    <w:basedOn w:val="HeadingBase"/>
    <w:rsid w:val="009D3721"/>
    <w:pPr>
      <w:spacing w:before="240" w:after="60"/>
    </w:pPr>
    <w:rPr>
      <w:color w:val="918585"/>
      <w:sz w:val="22"/>
    </w:rPr>
  </w:style>
  <w:style w:type="paragraph" w:customStyle="1" w:styleId="SideHeading">
    <w:name w:val="Side Heading"/>
    <w:basedOn w:val="HeadingBase"/>
    <w:rsid w:val="009D3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721"/>
    <w:pPr>
      <w:numPr>
        <w:numId w:val="12"/>
      </w:numPr>
    </w:pPr>
  </w:style>
  <w:style w:type="paragraph" w:styleId="PlainText">
    <w:name w:val="Plain Text"/>
    <w:basedOn w:val="Normal"/>
    <w:link w:val="PlainTextChar"/>
    <w:rsid w:val="009D3721"/>
    <w:rPr>
      <w:sz w:val="20"/>
    </w:rPr>
  </w:style>
  <w:style w:type="character" w:customStyle="1" w:styleId="PlainTextChar">
    <w:name w:val="Plain Text Char"/>
    <w:basedOn w:val="DefaultParagraphFont"/>
    <w:link w:val="PlainText"/>
    <w:rsid w:val="009D3721"/>
    <w:rPr>
      <w:rFonts w:ascii="Courier New" w:eastAsia="Times New Roman" w:hAnsi="Courier New" w:cs="Times New Roman"/>
      <w:sz w:val="20"/>
      <w:szCs w:val="20"/>
      <w:lang w:eastAsia="en-US"/>
    </w:rPr>
  </w:style>
  <w:style w:type="character" w:customStyle="1" w:styleId="MenuOption">
    <w:name w:val="Menu Option"/>
    <w:basedOn w:val="DefaultParagraphFont"/>
    <w:rsid w:val="009D3721"/>
    <w:rPr>
      <w:b/>
      <w:smallCaps/>
    </w:rPr>
  </w:style>
  <w:style w:type="paragraph" w:customStyle="1" w:styleId="TableListNumber">
    <w:name w:val="Table List Number"/>
    <w:basedOn w:val="ListNumber"/>
    <w:rsid w:val="009D3721"/>
    <w:pPr>
      <w:numPr>
        <w:numId w:val="0"/>
      </w:numPr>
    </w:pPr>
  </w:style>
  <w:style w:type="paragraph" w:styleId="TOC4">
    <w:name w:val="toc 4"/>
    <w:basedOn w:val="TOCBase"/>
    <w:next w:val="Normal"/>
    <w:semiHidden/>
    <w:rsid w:val="009D3721"/>
    <w:pPr>
      <w:tabs>
        <w:tab w:val="right" w:leader="dot" w:pos="9071"/>
      </w:tabs>
      <w:ind w:left="1701"/>
    </w:pPr>
  </w:style>
  <w:style w:type="paragraph" w:customStyle="1" w:styleId="ListAlpha">
    <w:name w:val="List Alpha"/>
    <w:basedOn w:val="List"/>
    <w:rsid w:val="009D3721"/>
    <w:pPr>
      <w:numPr>
        <w:numId w:val="9"/>
      </w:numPr>
    </w:pPr>
  </w:style>
  <w:style w:type="paragraph" w:customStyle="1" w:styleId="ListAlpha2">
    <w:name w:val="List Alpha 2"/>
    <w:basedOn w:val="List2"/>
    <w:rsid w:val="009D3721"/>
    <w:pPr>
      <w:numPr>
        <w:numId w:val="8"/>
      </w:numPr>
    </w:pPr>
  </w:style>
  <w:style w:type="paragraph" w:styleId="List2">
    <w:name w:val="List 2"/>
    <w:basedOn w:val="BodyText"/>
    <w:rsid w:val="009D3721"/>
    <w:pPr>
      <w:tabs>
        <w:tab w:val="left" w:pos="680"/>
      </w:tabs>
      <w:spacing w:before="60" w:after="60"/>
      <w:ind w:left="680" w:hanging="340"/>
    </w:pPr>
  </w:style>
  <w:style w:type="paragraph" w:styleId="List3">
    <w:name w:val="List 3"/>
    <w:basedOn w:val="BodyText"/>
    <w:rsid w:val="009D3721"/>
    <w:pPr>
      <w:tabs>
        <w:tab w:val="left" w:pos="1021"/>
      </w:tabs>
      <w:spacing w:before="60" w:after="60"/>
      <w:ind w:left="1020" w:hanging="340"/>
    </w:pPr>
  </w:style>
  <w:style w:type="paragraph" w:styleId="List4">
    <w:name w:val="List 4"/>
    <w:basedOn w:val="BodyText"/>
    <w:rsid w:val="009D3721"/>
    <w:pPr>
      <w:tabs>
        <w:tab w:val="left" w:pos="1361"/>
      </w:tabs>
      <w:spacing w:before="60" w:after="60"/>
      <w:ind w:left="1361" w:hanging="340"/>
    </w:pPr>
  </w:style>
  <w:style w:type="paragraph" w:styleId="List5">
    <w:name w:val="List 5"/>
    <w:basedOn w:val="BodyText"/>
    <w:rsid w:val="009D3721"/>
    <w:pPr>
      <w:tabs>
        <w:tab w:val="left" w:pos="1701"/>
      </w:tabs>
      <w:spacing w:before="60" w:after="60"/>
      <w:ind w:left="1701" w:hanging="340"/>
    </w:pPr>
  </w:style>
  <w:style w:type="paragraph" w:styleId="ListBullet3">
    <w:name w:val="List Bullet 3"/>
    <w:basedOn w:val="List3"/>
    <w:rsid w:val="009D3721"/>
    <w:pPr>
      <w:numPr>
        <w:numId w:val="15"/>
      </w:numPr>
      <w:tabs>
        <w:tab w:val="clear" w:pos="1021"/>
      </w:tabs>
      <w:ind w:left="1037" w:hanging="357"/>
    </w:pPr>
  </w:style>
  <w:style w:type="paragraph" w:styleId="ListBullet4">
    <w:name w:val="List Bullet 4"/>
    <w:basedOn w:val="List4"/>
    <w:rsid w:val="009D3721"/>
    <w:pPr>
      <w:numPr>
        <w:numId w:val="3"/>
      </w:numPr>
    </w:pPr>
  </w:style>
  <w:style w:type="paragraph" w:styleId="ListBullet5">
    <w:name w:val="List Bullet 5"/>
    <w:basedOn w:val="List5"/>
    <w:rsid w:val="009D3721"/>
    <w:pPr>
      <w:numPr>
        <w:numId w:val="4"/>
      </w:numPr>
    </w:pPr>
  </w:style>
  <w:style w:type="paragraph" w:styleId="ListContinue2">
    <w:name w:val="List Continue 2"/>
    <w:basedOn w:val="List2"/>
    <w:rsid w:val="009D3721"/>
    <w:pPr>
      <w:ind w:firstLine="0"/>
    </w:pPr>
  </w:style>
  <w:style w:type="paragraph" w:styleId="ListContinue3">
    <w:name w:val="List Continue 3"/>
    <w:basedOn w:val="List3"/>
    <w:rsid w:val="009D3721"/>
    <w:pPr>
      <w:ind w:left="1021" w:firstLine="0"/>
    </w:pPr>
  </w:style>
  <w:style w:type="paragraph" w:styleId="ListContinue4">
    <w:name w:val="List Continue 4"/>
    <w:basedOn w:val="List4"/>
    <w:rsid w:val="009D3721"/>
    <w:pPr>
      <w:ind w:firstLine="0"/>
    </w:pPr>
  </w:style>
  <w:style w:type="paragraph" w:styleId="ListContinue5">
    <w:name w:val="List Continue 5"/>
    <w:basedOn w:val="List5"/>
    <w:rsid w:val="009D3721"/>
    <w:pPr>
      <w:ind w:firstLine="0"/>
    </w:pPr>
  </w:style>
  <w:style w:type="paragraph" w:styleId="ListNumber3">
    <w:name w:val="List Number 3"/>
    <w:basedOn w:val="List3"/>
    <w:rsid w:val="009D3721"/>
    <w:pPr>
      <w:numPr>
        <w:numId w:val="5"/>
      </w:numPr>
    </w:pPr>
  </w:style>
  <w:style w:type="paragraph" w:styleId="ListNumber4">
    <w:name w:val="List Number 4"/>
    <w:basedOn w:val="List4"/>
    <w:rsid w:val="009D3721"/>
    <w:pPr>
      <w:numPr>
        <w:numId w:val="6"/>
      </w:numPr>
    </w:pPr>
  </w:style>
  <w:style w:type="paragraph" w:styleId="ListNumber5">
    <w:name w:val="List Number 5"/>
    <w:basedOn w:val="List5"/>
    <w:rsid w:val="009D3721"/>
    <w:pPr>
      <w:numPr>
        <w:numId w:val="7"/>
      </w:numPr>
    </w:pPr>
  </w:style>
  <w:style w:type="paragraph" w:styleId="BlockText">
    <w:name w:val="Block Text"/>
    <w:basedOn w:val="Normal"/>
    <w:rsid w:val="009D3721"/>
    <w:pPr>
      <w:spacing w:after="120"/>
      <w:ind w:left="1440" w:right="1440"/>
    </w:pPr>
  </w:style>
  <w:style w:type="character" w:customStyle="1" w:styleId="Subscript">
    <w:name w:val="Subscript"/>
    <w:basedOn w:val="DefaultParagraphFont"/>
    <w:rsid w:val="009D3721"/>
    <w:rPr>
      <w:sz w:val="16"/>
      <w:vertAlign w:val="subscript"/>
    </w:rPr>
  </w:style>
  <w:style w:type="character" w:customStyle="1" w:styleId="Superscript">
    <w:name w:val="Superscript"/>
    <w:basedOn w:val="DefaultParagraphFont"/>
    <w:rsid w:val="009D3721"/>
    <w:rPr>
      <w:sz w:val="16"/>
      <w:vertAlign w:val="superscript"/>
    </w:rPr>
  </w:style>
  <w:style w:type="character" w:customStyle="1" w:styleId="Symbols">
    <w:name w:val="Symbols"/>
    <w:basedOn w:val="DefaultParagraphFont"/>
    <w:rsid w:val="009D3721"/>
    <w:rPr>
      <w:rFonts w:ascii="Symbol" w:hAnsi="Symbol"/>
    </w:rPr>
  </w:style>
  <w:style w:type="character" w:customStyle="1" w:styleId="MenuOptions">
    <w:name w:val="Menu Options"/>
    <w:basedOn w:val="DefaultParagraphFont"/>
    <w:rsid w:val="009D3721"/>
    <w:rPr>
      <w:rFonts w:ascii="Arial Narrow" w:hAnsi="Arial Narrow"/>
      <w:smallCaps/>
    </w:rPr>
  </w:style>
  <w:style w:type="character" w:customStyle="1" w:styleId="Buttons">
    <w:name w:val="Buttons"/>
    <w:basedOn w:val="DefaultParagraphFont"/>
    <w:rsid w:val="009D3721"/>
    <w:rPr>
      <w:b/>
    </w:rPr>
  </w:style>
  <w:style w:type="character" w:customStyle="1" w:styleId="Underlined">
    <w:name w:val="Underlined"/>
    <w:basedOn w:val="DefaultParagraphFont"/>
    <w:rsid w:val="009D3721"/>
    <w:rPr>
      <w:u w:val="single"/>
    </w:rPr>
  </w:style>
  <w:style w:type="paragraph" w:customStyle="1" w:styleId="TableBodyTextRight">
    <w:name w:val="Table Body Text Right"/>
    <w:basedOn w:val="TableBodyText"/>
    <w:rsid w:val="009D3721"/>
    <w:pPr>
      <w:widowControl w:val="0"/>
      <w:autoSpaceDE w:val="0"/>
      <w:autoSpaceDN w:val="0"/>
      <w:adjustRightInd w:val="0"/>
      <w:jc w:val="right"/>
    </w:pPr>
    <w:rPr>
      <w:rFonts w:cs="Arial"/>
      <w:szCs w:val="18"/>
    </w:rPr>
  </w:style>
  <w:style w:type="paragraph" w:customStyle="1" w:styleId="CopyrightText">
    <w:name w:val="Copyright Text"/>
    <w:basedOn w:val="BodyText"/>
    <w:rsid w:val="009D3721"/>
    <w:rPr>
      <w:sz w:val="18"/>
    </w:rPr>
  </w:style>
  <w:style w:type="paragraph" w:customStyle="1" w:styleId="BodySmallRight">
    <w:name w:val="Body Small Right"/>
    <w:basedOn w:val="BodyTextRight"/>
    <w:rsid w:val="009D3721"/>
    <w:rPr>
      <w:sz w:val="18"/>
      <w:szCs w:val="18"/>
    </w:rPr>
  </w:style>
  <w:style w:type="paragraph" w:customStyle="1" w:styleId="MarginEdition">
    <w:name w:val="Margin Edition"/>
    <w:basedOn w:val="MarginNote"/>
    <w:rsid w:val="009D3721"/>
    <w:pPr>
      <w:spacing w:before="0" w:after="0"/>
    </w:pPr>
    <w:rPr>
      <w:rFonts w:ascii="Times New Roman" w:hAnsi="Times New Roman"/>
      <w:color w:val="999999"/>
    </w:rPr>
  </w:style>
  <w:style w:type="paragraph" w:customStyle="1" w:styleId="Spacer">
    <w:name w:val="Spacer"/>
    <w:basedOn w:val="Normal"/>
    <w:rsid w:val="009D3721"/>
    <w:rPr>
      <w:sz w:val="2"/>
      <w:szCs w:val="2"/>
    </w:rPr>
  </w:style>
  <w:style w:type="character" w:customStyle="1" w:styleId="Small">
    <w:name w:val="Small"/>
    <w:basedOn w:val="DefaultParagraphFont"/>
    <w:rsid w:val="009D3721"/>
    <w:rPr>
      <w:sz w:val="16"/>
    </w:rPr>
  </w:style>
  <w:style w:type="paragraph" w:customStyle="1" w:styleId="WideTable">
    <w:name w:val="Wide Table"/>
    <w:basedOn w:val="Normal"/>
    <w:rsid w:val="009D3721"/>
    <w:pPr>
      <w:ind w:left="-1418"/>
    </w:pPr>
    <w:rPr>
      <w:sz w:val="2"/>
      <w:szCs w:val="2"/>
    </w:rPr>
  </w:style>
  <w:style w:type="character" w:styleId="PageNumber">
    <w:name w:val="page number"/>
    <w:basedOn w:val="DefaultParagraphFont"/>
    <w:rsid w:val="009D3721"/>
  </w:style>
  <w:style w:type="paragraph" w:styleId="Quote">
    <w:name w:val="Quote"/>
    <w:basedOn w:val="Heading1"/>
    <w:link w:val="QuoteChar"/>
    <w:qFormat/>
    <w:rsid w:val="009D3721"/>
    <w:rPr>
      <w:b w:val="0"/>
      <w:sz w:val="72"/>
      <w:szCs w:val="72"/>
      <w:lang w:val="en-NZ"/>
    </w:rPr>
  </w:style>
  <w:style w:type="character" w:customStyle="1" w:styleId="QuoteChar">
    <w:name w:val="Quote Char"/>
    <w:basedOn w:val="DefaultParagraphFont"/>
    <w:link w:val="Quote"/>
    <w:rsid w:val="009D3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721"/>
    <w:pPr>
      <w:pageBreakBefore/>
    </w:pPr>
  </w:style>
  <w:style w:type="paragraph" w:customStyle="1" w:styleId="Border">
    <w:name w:val="Border"/>
    <w:basedOn w:val="Normal"/>
    <w:qFormat/>
    <w:rsid w:val="009D3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721"/>
    <w:rPr>
      <w:b/>
      <w:bCs/>
      <w:i/>
      <w:iCs/>
      <w:color w:val="auto"/>
    </w:rPr>
  </w:style>
  <w:style w:type="paragraph" w:styleId="IntenseQuote">
    <w:name w:val="Intense Quote"/>
    <w:basedOn w:val="Normal"/>
    <w:next w:val="Normal"/>
    <w:link w:val="IntenseQuoteChar"/>
    <w:uiPriority w:val="30"/>
    <w:qFormat/>
    <w:rsid w:val="009D3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721"/>
    <w:rPr>
      <w:smallCaps/>
      <w:color w:val="auto"/>
      <w:u w:val="single"/>
    </w:rPr>
  </w:style>
  <w:style w:type="character" w:styleId="IntenseReference">
    <w:name w:val="Intense Reference"/>
    <w:basedOn w:val="DefaultParagraphFont"/>
    <w:uiPriority w:val="32"/>
    <w:qFormat/>
    <w:rsid w:val="009D3721"/>
    <w:rPr>
      <w:b/>
      <w:bCs/>
      <w:smallCaps/>
      <w:color w:val="auto"/>
      <w:spacing w:val="5"/>
      <w:u w:val="single"/>
    </w:rPr>
  </w:style>
  <w:style w:type="paragraph" w:customStyle="1" w:styleId="2ColumnHeading">
    <w:name w:val="2Column Heading"/>
    <w:basedOn w:val="BodyText"/>
    <w:qFormat/>
    <w:rsid w:val="009D3721"/>
    <w:pPr>
      <w:spacing w:after="60"/>
      <w:ind w:left="-2268"/>
    </w:pPr>
    <w:rPr>
      <w:b/>
    </w:rPr>
  </w:style>
  <w:style w:type="paragraph" w:customStyle="1" w:styleId="Heading1TOC">
    <w:name w:val="Heading1 TOC"/>
    <w:basedOn w:val="Normal"/>
    <w:qFormat/>
    <w:rsid w:val="009D3721"/>
    <w:pPr>
      <w:spacing w:before="240" w:after="120"/>
    </w:pPr>
    <w:rPr>
      <w:rFonts w:ascii="Times New Roman" w:hAnsi="Times New Roman"/>
      <w:b/>
      <w:sz w:val="32"/>
    </w:rPr>
  </w:style>
  <w:style w:type="paragraph" w:customStyle="1" w:styleId="Heading2TOC">
    <w:name w:val="Heading2 TOC"/>
    <w:basedOn w:val="Normal"/>
    <w:qFormat/>
    <w:rsid w:val="009D3721"/>
    <w:pPr>
      <w:spacing w:before="240" w:after="60"/>
    </w:pPr>
    <w:rPr>
      <w:rFonts w:ascii="Times New Roman" w:hAnsi="Times New Roman"/>
      <w:b/>
      <w:sz w:val="28"/>
    </w:rPr>
  </w:style>
  <w:style w:type="character" w:customStyle="1" w:styleId="Underline">
    <w:name w:val="Underline"/>
    <w:basedOn w:val="DefaultParagraphFont"/>
    <w:qFormat/>
    <w:rsid w:val="009D3721"/>
    <w:rPr>
      <w:u w:val="single"/>
    </w:rPr>
  </w:style>
  <w:style w:type="paragraph" w:styleId="BalloonText">
    <w:name w:val="Balloon Text"/>
    <w:basedOn w:val="Normal"/>
    <w:link w:val="BalloonTextChar"/>
    <w:rsid w:val="009D3721"/>
    <w:rPr>
      <w:rFonts w:ascii="Tahoma" w:hAnsi="Tahoma" w:cs="Tahoma"/>
      <w:sz w:val="16"/>
      <w:szCs w:val="16"/>
    </w:rPr>
  </w:style>
  <w:style w:type="character" w:customStyle="1" w:styleId="BalloonTextChar">
    <w:name w:val="Balloon Text Char"/>
    <w:basedOn w:val="DefaultParagraphFont"/>
    <w:link w:val="BalloonText"/>
    <w:rsid w:val="009D3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7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3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721"/>
    <w:rPr>
      <w:b/>
      <w:color w:val="660033"/>
      <w:spacing w:val="0"/>
    </w:rPr>
  </w:style>
  <w:style w:type="paragraph" w:customStyle="1" w:styleId="Nameditemlist">
    <w:name w:val="Named item list"/>
    <w:basedOn w:val="BodyText"/>
    <w:qFormat/>
    <w:rsid w:val="009D37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Words>
  <Characters>8022</Characters>
  <Application>Microsoft Office Word</Application>
  <DocSecurity>0</DocSecurity>
  <Lines>268</Lines>
  <Paragraphs>174</Paragraphs>
  <ScaleCrop>false</ScaleCrop>
  <Company>Author-it Software Corporation Ltd.</Company>
  <LinksUpToDate>false</LinksUpToDate>
  <CharactersWithSpaces>9171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SIRXGLC401 Monitor compliance with legislative requirements for the establishment of a retail business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2012-06-14T03:56:00Z</dcterms:created>
  <dcterms:modified xsi:type="dcterms:W3CDTF">2012-06-14T03:56:00Z</dcterms:modified>
</cp:coreProperties>
</file>