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3BD7" w:rsidP="00533BD7">
      <w:pPr>
        <w:pStyle w:val="Title"/>
      </w:pPr>
      <w:bookmarkStart w:id="0" w:name="_GoBack"/>
      <w:bookmarkEnd w:id="0"/>
      <w:r>
        <w:fldChar w:fldCharType="begin"/>
      </w:r>
      <w:r>
        <w:instrText xml:space="preserve"> TITLE   \* MERGEFORMAT </w:instrText>
      </w:r>
      <w:r>
        <w:fldChar w:fldCharType="separate"/>
      </w:r>
      <w:r>
        <w:t>SIRXCCS509 Manage business customers</w:t>
      </w:r>
      <w:r>
        <w:fldChar w:fldCharType="end"/>
      </w:r>
    </w:p>
    <w:p w:rsidR="00533BD7" w:rsidP="00533BD7">
      <w:pPr>
        <w:pStyle w:val="Version"/>
        <w:sectPr w:rsidSect="000A1B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1B16" w:rsidP="000A1B16">
      <w:pPr>
        <w:pStyle w:val="SuperHeading"/>
      </w:pPr>
      <w:r w:rsidRPr="000A1B16">
        <w:t>SIRXCCS509 Manage business customers</w:t>
      </w:r>
    </w:p>
    <w:p w:rsidR="00000000" w:rsidRPr="000A1B16" w:rsidP="000A1B16">
      <w:pPr>
        <w:pStyle w:val="Heading1"/>
      </w:pPr>
      <w:bookmarkStart w:id="1" w:name="O_393872"/>
      <w:bookmarkEnd w:id="1"/>
      <w:r w:rsidRPr="000A1B16">
        <w:t>Modification History</w:t>
      </w:r>
    </w:p>
    <w:p w:rsidR="00000000" w:rsidRPr="000A1B16" w:rsidP="000A1B16">
      <w:pPr>
        <w:pStyle w:val="BodyText"/>
      </w:pPr>
      <w:r w:rsidRPr="000A1B16">
        <w:t xml:space="preserve">The version details of this endorsed unit are in the table below. The latest information is </w:t>
      </w:r>
      <w:r w:rsidRPr="000A1B16">
        <w:t>at the top.</w:t>
      </w:r>
    </w:p>
    <w:tbl>
      <w:tblPr>
        <w:tblW w:w="0" w:type="auto"/>
        <w:tblCellMar>
          <w:left w:w="62" w:type="dxa"/>
          <w:right w:w="62" w:type="dxa"/>
        </w:tblCellMar>
        <w:tblLook w:val="0000"/>
      </w:tblPr>
      <w:tblGrid>
        <w:gridCol w:w="4609"/>
        <w:gridCol w:w="4587"/>
      </w:tblGrid>
      <w:tr w:rsidTr="00533B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B16" w:rsidP="000A1B16">
            <w:pPr>
              <w:pStyle w:val="BodyText"/>
            </w:pPr>
            <w:r w:rsidRPr="000A1B16">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B16">
            <w:pPr>
              <w:pStyle w:val="BodyText"/>
              <w:rPr>
                <w:lang w:val="en-NZ"/>
              </w:rPr>
            </w:pPr>
            <w:r w:rsidRPr="000A1B16">
              <w:rPr>
                <w:rStyle w:val="SpecialBold"/>
              </w:rPr>
              <w:t>Comments</w:t>
            </w:r>
          </w:p>
        </w:tc>
      </w:tr>
      <w:tr w:rsidTr="00533BD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1B16">
            <w:pPr>
              <w:pStyle w:val="BodyText"/>
              <w:rPr>
                <w:lang w:val="en-NZ"/>
              </w:rPr>
            </w:pPr>
            <w:r w:rsidRPr="000A1B16">
              <w:t>First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1B16" w:rsidP="000A1B16">
            <w:pPr>
              <w:pStyle w:val="BodyText"/>
            </w:pPr>
            <w:r w:rsidRPr="000A1B16">
              <w:t>This is a revised unit, based on and equivalent to SIRXCCS005A Manage business customers.</w:t>
            </w:r>
          </w:p>
        </w:tc>
      </w:tr>
    </w:tbl>
    <w:p w:rsidR="00000000" w:rsidRPr="000A1B16" w:rsidP="000A1B16">
      <w:pPr>
        <w:pStyle w:val="BodyText"/>
      </w:pPr>
    </w:p>
    <w:p w:rsidR="00000000" w:rsidRPr="000A1B16" w:rsidP="000A1B16">
      <w:pPr>
        <w:pStyle w:val="AllowPageBreak"/>
      </w:pPr>
    </w:p>
    <w:p w:rsidR="00000000" w:rsidRPr="000A1B16" w:rsidP="000A1B16">
      <w:pPr>
        <w:pStyle w:val="Heading1"/>
      </w:pPr>
      <w:bookmarkStart w:id="2" w:name="O_393873"/>
      <w:bookmarkEnd w:id="2"/>
      <w:r w:rsidRPr="000A1B16">
        <w:t>Unit Descriptor</w:t>
      </w:r>
    </w:p>
    <w:p w:rsidR="00000000" w:rsidRPr="000A1B16" w:rsidP="000A1B16">
      <w:pPr>
        <w:pStyle w:val="BodyText"/>
      </w:pPr>
      <w:r w:rsidRPr="000A1B16">
        <w:t>This unit describes the performance outcomes, skills and knowledge required to manage contracts, reinforce trading terms, and negotiate deals with business customers.</w:t>
      </w:r>
    </w:p>
    <w:p w:rsidR="00000000" w:rsidRPr="000A1B16" w:rsidP="000A1B16">
      <w:pPr>
        <w:pStyle w:val="BodyText"/>
      </w:pPr>
    </w:p>
    <w:p w:rsidR="00000000" w:rsidRPr="000A1B16" w:rsidP="000A1B16">
      <w:pPr>
        <w:pStyle w:val="BodyText"/>
      </w:pPr>
      <w:r w:rsidRPr="000A1B16">
        <w:t>The unit covers ways to negotiate and finalise legally binding contractual agreements wi</w:t>
      </w:r>
      <w:r w:rsidRPr="000A1B16">
        <w:t>th a range of business customers, according to company policy and legislative requirements, to meet business targets and strategic outcomes.</w:t>
      </w:r>
    </w:p>
    <w:p w:rsidR="00000000" w:rsidRPr="000A1B16" w:rsidP="000A1B16">
      <w:pPr>
        <w:pStyle w:val="AllowPageBreak"/>
      </w:pPr>
    </w:p>
    <w:p w:rsidR="00000000" w:rsidRPr="000A1B16" w:rsidP="000A1B16">
      <w:pPr>
        <w:pStyle w:val="Heading1"/>
      </w:pPr>
      <w:bookmarkStart w:id="3" w:name="O_393874"/>
      <w:bookmarkEnd w:id="3"/>
      <w:r w:rsidRPr="000A1B16">
        <w:t>Application of the Unit</w:t>
      </w:r>
    </w:p>
    <w:p w:rsidR="00000000" w:rsidRPr="000A1B16" w:rsidP="000A1B16">
      <w:pPr>
        <w:pStyle w:val="BodyText"/>
      </w:pPr>
      <w:r w:rsidRPr="000A1B16">
        <w:t>This unit applies to senior sales personnel who negotiate contractual arra</w:t>
      </w:r>
      <w:r w:rsidRPr="000A1B16">
        <w:t>ngements with customers to meet business outcomes and strategic goals.</w:t>
      </w:r>
    </w:p>
    <w:p w:rsidR="00000000" w:rsidRPr="000A1B16" w:rsidP="000A1B16">
      <w:pPr>
        <w:pStyle w:val="AllowPageBreak"/>
      </w:pPr>
    </w:p>
    <w:p w:rsidR="00000000" w:rsidRPr="000A1B16" w:rsidP="000A1B16">
      <w:pPr>
        <w:pStyle w:val="Heading1"/>
      </w:pPr>
      <w:bookmarkStart w:id="4" w:name="O_393875"/>
      <w:bookmarkEnd w:id="4"/>
      <w:r w:rsidRPr="000A1B16">
        <w:t>Licensing/Regulatory Information</w:t>
      </w:r>
    </w:p>
    <w:p w:rsidR="00000000" w:rsidRPr="000A1B16" w:rsidP="000A1B16">
      <w:pPr>
        <w:pStyle w:val="BodyText"/>
      </w:pPr>
      <w:r w:rsidRPr="000A1B16">
        <w:t>No licensing, legislative, regulatory or certification requirements apply to this unit at the time of endorsement.</w:t>
      </w:r>
    </w:p>
    <w:p w:rsidR="00000000" w:rsidRPr="000A1B16" w:rsidP="000A1B16">
      <w:pPr>
        <w:pStyle w:val="AllowPageBreak"/>
      </w:pPr>
    </w:p>
    <w:p w:rsidR="00000000" w:rsidRPr="000A1B16" w:rsidP="000A1B16">
      <w:pPr>
        <w:pStyle w:val="Heading1"/>
      </w:pPr>
      <w:bookmarkStart w:id="5" w:name="O_393876"/>
      <w:bookmarkEnd w:id="5"/>
      <w:r w:rsidRPr="000A1B16">
        <w:t>Pre</w:t>
      </w:r>
      <w:r w:rsidRPr="000A1B16">
        <w:t>-Requisites</w:t>
      </w:r>
    </w:p>
    <w:p w:rsidR="00000000" w:rsidRPr="000A1B16" w:rsidP="000A1B16">
      <w:pPr>
        <w:pStyle w:val="BodyText"/>
      </w:pPr>
      <w:r w:rsidRPr="000A1B16">
        <w:t>Nil</w:t>
      </w:r>
    </w:p>
    <w:p w:rsidR="00000000" w:rsidRPr="000A1B16" w:rsidP="000A1B16">
      <w:pPr>
        <w:pStyle w:val="AllowPageBreak"/>
      </w:pPr>
    </w:p>
    <w:p w:rsidR="00000000" w:rsidRPr="000A1B16" w:rsidP="000A1B16">
      <w:pPr>
        <w:pStyle w:val="Heading1"/>
      </w:pPr>
      <w:bookmarkStart w:id="6" w:name="O_393877"/>
      <w:bookmarkEnd w:id="6"/>
      <w:r w:rsidRPr="000A1B16">
        <w:t>Employability Skills Information</w:t>
      </w:r>
    </w:p>
    <w:p w:rsidR="00000000" w:rsidRPr="000A1B16" w:rsidP="000A1B16">
      <w:pPr>
        <w:pStyle w:val="BodyText"/>
      </w:pPr>
      <w:r w:rsidRPr="000A1B16">
        <w:t>This unit contains employability skills.</w:t>
      </w:r>
    </w:p>
    <w:p w:rsidR="00000000" w:rsidRPr="000A1B16" w:rsidP="000A1B16">
      <w:pPr>
        <w:pStyle w:val="AllowPageBreak"/>
      </w:pPr>
    </w:p>
    <w:p w:rsidR="00000000" w:rsidRPr="000A1B16" w:rsidP="000A1B16">
      <w:pPr>
        <w:pStyle w:val="Heading1"/>
      </w:pPr>
      <w:bookmarkStart w:id="7" w:name="O_393878"/>
      <w:bookmarkEnd w:id="7"/>
      <w:r w:rsidRPr="000A1B16">
        <w:t>Elements and Performance Criteria Pre-Content</w:t>
      </w:r>
    </w:p>
    <w:p w:rsidR="00000000" w:rsidRPr="000A1B16" w:rsidP="000A1B16">
      <w:pPr>
        <w:pStyle w:val="Heading1"/>
      </w:pPr>
      <w:bookmarkStart w:id="8" w:name="O_393879"/>
      <w:bookmarkEnd w:id="8"/>
      <w:r w:rsidRPr="000A1B16">
        <w:t>Elements and Performance Criteria</w:t>
      </w:r>
    </w:p>
    <w:tbl>
      <w:tblPr>
        <w:tblW w:w="0" w:type="auto"/>
        <w:tblLayout w:type="fixed"/>
        <w:tblCellMar>
          <w:left w:w="62" w:type="dxa"/>
          <w:right w:w="62" w:type="dxa"/>
        </w:tblCellMar>
        <w:tblLook w:val="0000"/>
      </w:tblPr>
      <w:tblGrid>
        <w:gridCol w:w="2514"/>
        <w:gridCol w:w="6416"/>
      </w:tblGrid>
      <w:tr w:rsidTr="000A1B16">
        <w:tblPrEx>
          <w:tblW w:w="0" w:type="auto"/>
          <w:tblLayout w:type="fixed"/>
          <w:tblCellMar>
            <w:left w:w="62" w:type="dxa"/>
            <w:right w:w="62" w:type="dxa"/>
          </w:tblCellMar>
          <w:tblLook w:val="0000"/>
        </w:tblPrEx>
        <w:trPr>
          <w:tblHeader/>
        </w:trPr>
        <w:tc>
          <w:tcPr>
            <w:tcW w:w="2514" w:type="dxa"/>
            <w:tcBorders>
              <w:top w:val="nil"/>
              <w:left w:val="nil"/>
              <w:bottom w:val="nil"/>
              <w:right w:val="nil"/>
            </w:tcBorders>
            <w:tcMar>
              <w:top w:w="0" w:type="dxa"/>
              <w:left w:w="62" w:type="dxa"/>
              <w:bottom w:w="0" w:type="dxa"/>
              <w:right w:w="62" w:type="dxa"/>
            </w:tcMar>
          </w:tcPr>
          <w:p w:rsidR="00000000" w:rsidRPr="000A1B16" w:rsidP="000A1B16">
            <w:pPr>
              <w:pStyle w:val="BodyText"/>
            </w:pPr>
            <w:r w:rsidRPr="000A1B16">
              <w:rPr>
                <w:rStyle w:val="SpecialBold"/>
              </w:rPr>
              <w:t>ELEMENT</w:t>
            </w:r>
          </w:p>
        </w:tc>
        <w:tc>
          <w:tcPr>
            <w:tcW w:w="6416"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rPr>
                <w:rStyle w:val="SpecialBold"/>
              </w:rPr>
              <w:t>PERFORMANCE CRITERIA</w:t>
            </w:r>
          </w:p>
        </w:tc>
      </w:tr>
      <w:tr w:rsidTr="000A1B16">
        <w:tblPrEx>
          <w:tblW w:w="0" w:type="auto"/>
          <w:tblLayout w:type="fixed"/>
          <w:tblCellMar>
            <w:left w:w="62" w:type="dxa"/>
            <w:right w:w="62" w:type="dxa"/>
          </w:tblCellMar>
          <w:tblLook w:val="0000"/>
        </w:tblPrEx>
        <w:tc>
          <w:tcPr>
            <w:tcW w:w="2514"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t>Elements describe the essential outcomes of a unit of competency.</w:t>
            </w:r>
          </w:p>
        </w:tc>
        <w:tc>
          <w:tcPr>
            <w:tcW w:w="6416"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t>Performance criteria describe the performance needed to demonstrate achievement of the element. Where bold italicised text is used, further information is detailed in the required skills and</w:t>
            </w:r>
            <w:r w:rsidRPr="000A1B16">
              <w:t xml:space="preserve"> knowledge section and the range statement. Assessment of performance is to be consistent with the evidence guide.</w:t>
            </w:r>
          </w:p>
        </w:tc>
      </w:tr>
      <w:tr w:rsidTr="000A1B16">
        <w:tblPrEx>
          <w:tblW w:w="0" w:type="auto"/>
          <w:tblLayout w:type="fixed"/>
          <w:tblCellMar>
            <w:left w:w="62" w:type="dxa"/>
            <w:right w:w="62" w:type="dxa"/>
          </w:tblCellMar>
          <w:tblLook w:val="0000"/>
        </w:tblPrEx>
        <w:tc>
          <w:tcPr>
            <w:tcW w:w="2514" w:type="dxa"/>
            <w:tcBorders>
              <w:top w:val="nil"/>
              <w:left w:val="nil"/>
              <w:bottom w:val="nil"/>
              <w:right w:val="nil"/>
            </w:tcBorders>
            <w:tcMar>
              <w:top w:w="0" w:type="dxa"/>
              <w:left w:w="62" w:type="dxa"/>
              <w:bottom w:w="0" w:type="dxa"/>
              <w:right w:w="62" w:type="dxa"/>
            </w:tcMar>
          </w:tcPr>
          <w:p w:rsidR="00000000" w:rsidP="000A1B16">
            <w:pPr>
              <w:pStyle w:val="List"/>
              <w:rPr>
                <w:lang w:val="en-NZ"/>
              </w:rPr>
            </w:pPr>
            <w:r w:rsidRPr="000A1B16">
              <w:t>1.</w:t>
            </w:r>
            <w:r w:rsidRPr="000A1B16">
              <w:tab/>
              <w:t>Negotiate deals.</w:t>
            </w:r>
          </w:p>
        </w:tc>
        <w:tc>
          <w:tcPr>
            <w:tcW w:w="6416" w:type="dxa"/>
            <w:tcBorders>
              <w:top w:val="nil"/>
              <w:left w:val="nil"/>
              <w:bottom w:val="nil"/>
              <w:right w:val="nil"/>
            </w:tcBorders>
            <w:tcMar>
              <w:top w:w="0" w:type="dxa"/>
              <w:left w:w="62" w:type="dxa"/>
              <w:bottom w:w="0" w:type="dxa"/>
              <w:right w:w="62" w:type="dxa"/>
            </w:tcMar>
          </w:tcPr>
          <w:p w:rsidR="00000000" w:rsidRPr="000A1B16" w:rsidP="000A1B16">
            <w:pPr>
              <w:pStyle w:val="List"/>
            </w:pPr>
            <w:r w:rsidRPr="000A1B16">
              <w:t xml:space="preserve">1.1.Establish special deals, according to </w:t>
            </w:r>
            <w:r w:rsidRPr="000A1B16">
              <w:rPr>
                <w:rStyle w:val="BoldandItalics"/>
              </w:rPr>
              <w:t>business policy and procedures</w:t>
            </w:r>
            <w:r w:rsidRPr="000A1B16">
              <w:t>.</w:t>
            </w:r>
          </w:p>
          <w:p w:rsidR="00000000" w:rsidRPr="000A1B16" w:rsidP="000A1B16">
            <w:pPr>
              <w:pStyle w:val="List"/>
            </w:pPr>
            <w:r w:rsidRPr="000A1B16">
              <w:t>1.2.Negotiate and complete deals, according to</w:t>
            </w:r>
            <w:r w:rsidRPr="000A1B16">
              <w:t xml:space="preserve"> business policy and procedures.</w:t>
            </w:r>
          </w:p>
          <w:p w:rsidR="00000000" w:rsidRPr="000A1B16" w:rsidP="000A1B16">
            <w:pPr>
              <w:pStyle w:val="List"/>
            </w:pPr>
            <w:r w:rsidRPr="000A1B16">
              <w:t xml:space="preserve">1.3.Determine supporting </w:t>
            </w:r>
            <w:r w:rsidRPr="000A1B16">
              <w:rPr>
                <w:rStyle w:val="BoldandItalics"/>
              </w:rPr>
              <w:t>promotional and merchandising activities</w:t>
            </w:r>
            <w:r w:rsidRPr="000A1B16">
              <w:t>.</w:t>
            </w:r>
          </w:p>
          <w:p w:rsidR="00000000" w:rsidRPr="000A1B16" w:rsidP="000A1B16">
            <w:pPr>
              <w:pStyle w:val="List"/>
            </w:pPr>
            <w:r w:rsidRPr="000A1B16">
              <w:t>1.4.Negotiate optimal</w:t>
            </w:r>
            <w:r w:rsidRPr="000A1B16">
              <w:rPr>
                <w:rStyle w:val="BoldandItalics"/>
              </w:rPr>
              <w:t xml:space="preserve"> sales and distribution arrangements</w:t>
            </w:r>
            <w:r w:rsidRPr="000A1B16">
              <w:t xml:space="preserve"> with customer prior to completion of deals according to standard organisational policies and proce</w:t>
            </w:r>
            <w:r w:rsidRPr="000A1B16">
              <w:t>dures.</w:t>
            </w:r>
          </w:p>
          <w:p w:rsidR="00000000" w:rsidRPr="000A1B16" w:rsidP="000A1B16">
            <w:pPr>
              <w:pStyle w:val="List"/>
            </w:pPr>
            <w:r w:rsidRPr="000A1B16">
              <w:t>1.5.Approve special deals falling outside company policy and procedures according to business guidelines.</w:t>
            </w:r>
          </w:p>
          <w:p w:rsidR="00000000" w:rsidRPr="000A1B16" w:rsidP="000A1B16">
            <w:pPr>
              <w:pStyle w:val="List"/>
            </w:pPr>
            <w:r w:rsidRPr="000A1B16">
              <w:t xml:space="preserve">1.6.Negotiate and confirm </w:t>
            </w:r>
            <w:r w:rsidRPr="000A1B16">
              <w:rPr>
                <w:rStyle w:val="BoldandItalics"/>
              </w:rPr>
              <w:t>supply arrangements</w:t>
            </w:r>
            <w:r w:rsidRPr="000A1B16">
              <w:t xml:space="preserve"> for goods of services under special deals prior to completion of deals in line with standard orga</w:t>
            </w:r>
            <w:r w:rsidRPr="000A1B16">
              <w:t>nisational policies and procedures.</w:t>
            </w:r>
          </w:p>
          <w:p w:rsidR="00000000" w:rsidRPr="000A1B16" w:rsidP="000A1B16">
            <w:pPr>
              <w:pStyle w:val="List"/>
            </w:pPr>
            <w:r w:rsidRPr="000A1B16">
              <w:t>1.7.Ensure deals conform to business performance and marketing objectives.</w:t>
            </w:r>
          </w:p>
          <w:p w:rsidR="00000000" w:rsidP="000A1B16">
            <w:pPr>
              <w:pStyle w:val="List"/>
              <w:rPr>
                <w:lang w:val="en-NZ"/>
              </w:rPr>
            </w:pPr>
            <w:r w:rsidRPr="000A1B16">
              <w:t>1.8.Ensure deals are legally valid and binding.</w:t>
            </w:r>
          </w:p>
        </w:tc>
      </w:tr>
      <w:tr w:rsidTr="000A1B16">
        <w:tblPrEx>
          <w:tblW w:w="0" w:type="auto"/>
          <w:tblLayout w:type="fixed"/>
          <w:tblCellMar>
            <w:left w:w="62" w:type="dxa"/>
            <w:right w:w="62" w:type="dxa"/>
          </w:tblCellMar>
          <w:tblLook w:val="0000"/>
        </w:tblPrEx>
        <w:tc>
          <w:tcPr>
            <w:tcW w:w="2514" w:type="dxa"/>
            <w:tcBorders>
              <w:top w:val="nil"/>
              <w:left w:val="nil"/>
              <w:bottom w:val="nil"/>
              <w:right w:val="nil"/>
            </w:tcBorders>
            <w:tcMar>
              <w:top w:w="0" w:type="dxa"/>
              <w:left w:w="62" w:type="dxa"/>
              <w:bottom w:w="0" w:type="dxa"/>
              <w:right w:w="62" w:type="dxa"/>
            </w:tcMar>
          </w:tcPr>
          <w:p w:rsidR="00000000" w:rsidP="000A1B16">
            <w:pPr>
              <w:pStyle w:val="List"/>
              <w:rPr>
                <w:lang w:val="en-NZ"/>
              </w:rPr>
            </w:pPr>
            <w:r w:rsidRPr="000A1B16">
              <w:t>2.</w:t>
            </w:r>
            <w:r w:rsidRPr="000A1B16">
              <w:tab/>
              <w:t>Manage trading terms.</w:t>
            </w:r>
          </w:p>
        </w:tc>
        <w:tc>
          <w:tcPr>
            <w:tcW w:w="6416" w:type="dxa"/>
            <w:tcBorders>
              <w:top w:val="nil"/>
              <w:left w:val="nil"/>
              <w:bottom w:val="nil"/>
              <w:right w:val="nil"/>
            </w:tcBorders>
            <w:tcMar>
              <w:top w:w="0" w:type="dxa"/>
              <w:left w:w="62" w:type="dxa"/>
              <w:bottom w:w="0" w:type="dxa"/>
              <w:right w:w="62" w:type="dxa"/>
            </w:tcMar>
          </w:tcPr>
          <w:p w:rsidR="00000000" w:rsidRPr="000A1B16" w:rsidP="000A1B16">
            <w:pPr>
              <w:pStyle w:val="List"/>
            </w:pPr>
            <w:r w:rsidRPr="000A1B16">
              <w:t>2.1.Negotiate and confirm trading terms for product and services in line with standard organisational policies and procedures.</w:t>
            </w:r>
          </w:p>
          <w:p w:rsidR="00000000" w:rsidRPr="000A1B16" w:rsidP="000A1B16">
            <w:pPr>
              <w:pStyle w:val="List"/>
            </w:pPr>
            <w:r w:rsidRPr="000A1B16">
              <w:t>2.2.Establish procedures and policies to approve new or amended trading terms.</w:t>
            </w:r>
          </w:p>
          <w:p w:rsidR="00000000" w:rsidRPr="000A1B16" w:rsidP="000A1B16">
            <w:pPr>
              <w:pStyle w:val="List"/>
            </w:pPr>
            <w:r w:rsidRPr="000A1B16">
              <w:t>2.3.Communicate trading terms to internal and exte</w:t>
            </w:r>
            <w:r w:rsidRPr="000A1B16">
              <w:t>rnal personnel according to legislative and business procedures.</w:t>
            </w:r>
          </w:p>
          <w:p w:rsidR="00000000" w:rsidRPr="000A1B16" w:rsidP="000A1B16">
            <w:pPr>
              <w:pStyle w:val="List"/>
            </w:pPr>
            <w:r w:rsidRPr="000A1B16">
              <w:t xml:space="preserve">2.4.Confirm procedures and policies for processing breaches of trading terms and communicate to </w:t>
            </w:r>
            <w:r w:rsidRPr="000A1B16">
              <w:rPr>
                <w:rStyle w:val="BoldandItalics"/>
              </w:rPr>
              <w:t>relevant staff</w:t>
            </w:r>
            <w:r w:rsidRPr="000A1B16">
              <w:t>.</w:t>
            </w:r>
          </w:p>
          <w:p w:rsidR="00000000" w:rsidRPr="000A1B16" w:rsidP="000A1B16">
            <w:pPr>
              <w:pStyle w:val="List"/>
            </w:pPr>
            <w:r w:rsidRPr="000A1B16">
              <w:t>2.5.Establish processes for reviewing trading terms.</w:t>
            </w:r>
          </w:p>
          <w:p w:rsidR="00000000" w:rsidP="000A1B16">
            <w:pPr>
              <w:pStyle w:val="List"/>
              <w:rPr>
                <w:lang w:val="en-NZ"/>
              </w:rPr>
            </w:pPr>
            <w:r w:rsidRPr="000A1B16">
              <w:t>2.6.Establish policy and p</w:t>
            </w:r>
            <w:r w:rsidRPr="000A1B16">
              <w:t>rocedures for managing trading terms to achieve business and customer service objectives.</w:t>
            </w:r>
          </w:p>
        </w:tc>
      </w:tr>
      <w:tr w:rsidTr="000A1B16">
        <w:tblPrEx>
          <w:tblW w:w="0" w:type="auto"/>
          <w:tblLayout w:type="fixed"/>
          <w:tblCellMar>
            <w:left w:w="62" w:type="dxa"/>
            <w:right w:w="62" w:type="dxa"/>
          </w:tblCellMar>
          <w:tblLook w:val="0000"/>
        </w:tblPrEx>
        <w:tc>
          <w:tcPr>
            <w:tcW w:w="2514" w:type="dxa"/>
            <w:tcBorders>
              <w:top w:val="nil"/>
              <w:left w:val="nil"/>
              <w:bottom w:val="nil"/>
              <w:right w:val="nil"/>
            </w:tcBorders>
            <w:tcMar>
              <w:top w:w="0" w:type="dxa"/>
              <w:left w:w="62" w:type="dxa"/>
              <w:bottom w:w="0" w:type="dxa"/>
              <w:right w:w="62" w:type="dxa"/>
            </w:tcMar>
          </w:tcPr>
          <w:p w:rsidR="00000000" w:rsidP="000A1B16">
            <w:pPr>
              <w:pStyle w:val="List"/>
              <w:rPr>
                <w:lang w:val="en-NZ"/>
              </w:rPr>
            </w:pPr>
            <w:r w:rsidRPr="000A1B16">
              <w:t>3.</w:t>
            </w:r>
            <w:r w:rsidRPr="000A1B16">
              <w:tab/>
              <w:t>Manage business contracts.</w:t>
            </w:r>
          </w:p>
        </w:tc>
        <w:tc>
          <w:tcPr>
            <w:tcW w:w="6416" w:type="dxa"/>
            <w:tcBorders>
              <w:top w:val="nil"/>
              <w:left w:val="nil"/>
              <w:bottom w:val="nil"/>
              <w:right w:val="nil"/>
            </w:tcBorders>
            <w:tcMar>
              <w:top w:w="0" w:type="dxa"/>
              <w:left w:w="62" w:type="dxa"/>
              <w:bottom w:w="0" w:type="dxa"/>
              <w:right w:w="62" w:type="dxa"/>
            </w:tcMar>
          </w:tcPr>
          <w:p w:rsidR="00000000" w:rsidRPr="000A1B16" w:rsidP="000A1B16">
            <w:pPr>
              <w:pStyle w:val="List"/>
            </w:pPr>
            <w:r w:rsidRPr="000A1B16">
              <w:t>3.1.</w:t>
            </w:r>
            <w:r w:rsidRPr="000A1B16">
              <w:rPr>
                <w:rStyle w:val="BoldandItalics"/>
              </w:rPr>
              <w:t>Negotiate</w:t>
            </w:r>
            <w:r w:rsidRPr="000A1B16">
              <w:t xml:space="preserve"> and confirm contractual obligations and terms with </w:t>
            </w:r>
            <w:r w:rsidRPr="000A1B16">
              <w:rPr>
                <w:rStyle w:val="BoldandItalics"/>
              </w:rPr>
              <w:t>business customers</w:t>
            </w:r>
            <w:r w:rsidRPr="000A1B16">
              <w:t xml:space="preserve"> in line with standard organisational policies and p</w:t>
            </w:r>
            <w:r w:rsidRPr="000A1B16">
              <w:t>rocedures.</w:t>
            </w:r>
          </w:p>
          <w:p w:rsidR="00000000" w:rsidRPr="000A1B16" w:rsidP="000A1B16">
            <w:pPr>
              <w:pStyle w:val="List"/>
            </w:pPr>
            <w:r w:rsidRPr="000A1B16">
              <w:t xml:space="preserve">3.2.Seek </w:t>
            </w:r>
            <w:r w:rsidRPr="000A1B16">
              <w:rPr>
                <w:rStyle w:val="BoldandItalics"/>
              </w:rPr>
              <w:t>expert advice</w:t>
            </w:r>
            <w:r w:rsidRPr="000A1B16">
              <w:t xml:space="preserve"> regarding the framing of contracts as </w:t>
            </w:r>
            <w:r w:rsidRPr="000A1B16">
              <w:t>required and in line with standard organisational policies and procedures.</w:t>
            </w:r>
          </w:p>
          <w:p w:rsidR="00000000" w:rsidRPr="000A1B16" w:rsidP="000A1B16">
            <w:pPr>
              <w:pStyle w:val="List"/>
            </w:pPr>
            <w:r w:rsidRPr="000A1B16">
              <w:t xml:space="preserve">3.3.Apply established terms and conditions of </w:t>
            </w:r>
            <w:r w:rsidRPr="000A1B16">
              <w:rPr>
                <w:rStyle w:val="BoldandItalics"/>
              </w:rPr>
              <w:t>contractual arrangements</w:t>
            </w:r>
            <w:r w:rsidRPr="000A1B16">
              <w:t xml:space="preserve"> with business account customers.</w:t>
            </w:r>
          </w:p>
          <w:p w:rsidR="00000000" w:rsidRPr="000A1B16" w:rsidP="000A1B16">
            <w:pPr>
              <w:pStyle w:val="List"/>
            </w:pPr>
            <w:r w:rsidRPr="000A1B16">
              <w:t>3.4.C</w:t>
            </w:r>
            <w:r w:rsidRPr="000A1B16">
              <w:t>omplete requirements for amendment or variation to existing contract with a business according to business procedures and legal requirements.</w:t>
            </w:r>
          </w:p>
          <w:p w:rsidR="00000000" w:rsidRPr="000A1B16" w:rsidP="000A1B16">
            <w:pPr>
              <w:pStyle w:val="List"/>
            </w:pPr>
            <w:r w:rsidRPr="000A1B16">
              <w:t>3.5.Monitor performance of contract against agreed business objectives and standards.</w:t>
            </w:r>
          </w:p>
          <w:p w:rsidR="00000000" w:rsidRPr="000A1B16" w:rsidP="000A1B16">
            <w:pPr>
              <w:pStyle w:val="List"/>
            </w:pPr>
            <w:r w:rsidRPr="000A1B16">
              <w:t xml:space="preserve">3.6.Investigate and resolve </w:t>
            </w:r>
            <w:r w:rsidRPr="000A1B16">
              <w:t>contract variations according to contractual and business outcomes.</w:t>
            </w:r>
          </w:p>
          <w:p w:rsidR="00000000" w:rsidRPr="000A1B16" w:rsidP="000A1B16">
            <w:pPr>
              <w:pStyle w:val="List"/>
            </w:pPr>
            <w:r w:rsidRPr="000A1B16">
              <w:t>3.7.Resolve disputes over contracts to obtain business and customer outcomes.</w:t>
            </w:r>
          </w:p>
          <w:p w:rsidR="00000000" w:rsidRPr="000A1B16" w:rsidP="000A1B16">
            <w:pPr>
              <w:pStyle w:val="List"/>
            </w:pPr>
            <w:r w:rsidRPr="000A1B16">
              <w:t>3.8.Regularly complete contract reviews with customers, stakeholders and contract holders.</w:t>
            </w:r>
          </w:p>
          <w:p w:rsidR="00000000" w:rsidRPr="000A1B16" w:rsidP="000A1B16">
            <w:pPr>
              <w:pStyle w:val="List"/>
            </w:pPr>
            <w:r w:rsidRPr="000A1B16">
              <w:t>3.9.Conclude busine</w:t>
            </w:r>
            <w:r w:rsidRPr="000A1B16">
              <w:t>ss contracts according to organisational and legal requirements.</w:t>
            </w:r>
          </w:p>
        </w:tc>
      </w:tr>
    </w:tbl>
    <w:p w:rsidR="00000000" w:rsidRPr="000A1B16" w:rsidP="000A1B16">
      <w:pPr>
        <w:pStyle w:val="BodyText"/>
      </w:pPr>
    </w:p>
    <w:p w:rsidR="00000000" w:rsidRPr="000A1B16" w:rsidP="000A1B16">
      <w:pPr>
        <w:pStyle w:val="AllowPageBreak"/>
      </w:pPr>
    </w:p>
    <w:p w:rsidR="00000000" w:rsidRPr="000A1B16" w:rsidP="000A1B16">
      <w:pPr>
        <w:pStyle w:val="Heading1"/>
      </w:pPr>
      <w:bookmarkStart w:id="9" w:name="O_393880"/>
      <w:bookmarkEnd w:id="9"/>
      <w:r w:rsidRPr="000A1B16">
        <w:t>Required Skills and Knowledge</w:t>
      </w:r>
    </w:p>
    <w:tbl>
      <w:tblPr>
        <w:tblW w:w="0" w:type="auto"/>
        <w:tblLayout w:type="fixed"/>
        <w:tblCellMar>
          <w:left w:w="62" w:type="dxa"/>
          <w:right w:w="62" w:type="dxa"/>
        </w:tblCellMar>
        <w:tblLook w:val="0000"/>
      </w:tblPr>
      <w:tblGrid>
        <w:gridCol w:w="8930"/>
      </w:tblGrid>
      <w:tr w:rsidTr="000A1B16">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t>This section describes the skills and knowledge required for this unit.</w:t>
            </w:r>
          </w:p>
        </w:tc>
      </w:tr>
      <w:tr w:rsidTr="000A1B16">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rPr>
                <w:rStyle w:val="SpecialBold"/>
              </w:rPr>
              <w:t>Required skills</w:t>
            </w:r>
          </w:p>
        </w:tc>
      </w:tr>
      <w:tr w:rsidTr="000A1B16">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0A1B16" w:rsidP="000A1B16">
            <w:pPr>
              <w:pStyle w:val="ListBullet"/>
            </w:pPr>
            <w:r w:rsidRPr="000A1B16">
              <w:t>communication and interpersonal skills to:</w:t>
            </w:r>
          </w:p>
          <w:p w:rsidR="00000000" w:rsidRPr="000A1B16" w:rsidP="000A1B16">
            <w:pPr>
              <w:pStyle w:val="ListBullet2"/>
            </w:pPr>
            <w:r w:rsidRPr="000A1B16">
              <w:t>build relationships with business customers</w:t>
            </w:r>
          </w:p>
          <w:p w:rsidR="00000000" w:rsidRPr="000A1B16" w:rsidP="000A1B16">
            <w:pPr>
              <w:pStyle w:val="ListBullet2"/>
            </w:pPr>
            <w:r w:rsidRPr="000A1B16">
              <w:t>consult and negotiate</w:t>
            </w:r>
          </w:p>
          <w:p w:rsidR="00000000" w:rsidRPr="000A1B16" w:rsidP="000A1B16">
            <w:pPr>
              <w:pStyle w:val="ListBullet2"/>
            </w:pPr>
            <w:r w:rsidRPr="000A1B16">
              <w:t>make presentations</w:t>
            </w:r>
          </w:p>
          <w:p w:rsidR="00000000" w:rsidRPr="000A1B16" w:rsidP="000A1B16">
            <w:pPr>
              <w:pStyle w:val="ListBullet2"/>
            </w:pPr>
            <w:r w:rsidRPr="000A1B16">
              <w:t>resolve disputes</w:t>
            </w:r>
          </w:p>
          <w:p w:rsidR="00000000" w:rsidRPr="000A1B16" w:rsidP="000A1B16">
            <w:pPr>
              <w:pStyle w:val="ListBullet"/>
            </w:pPr>
            <w:r w:rsidRPr="000A1B16">
              <w:t>literacy and numeracy skills to:</w:t>
            </w:r>
          </w:p>
          <w:p w:rsidR="00000000" w:rsidRPr="000A1B16" w:rsidP="000A1B16">
            <w:pPr>
              <w:pStyle w:val="ListBullet2"/>
            </w:pPr>
            <w:r w:rsidRPr="000A1B16">
              <w:t xml:space="preserve">develop and amend contracts, according to business procedures and legal requirements develop </w:t>
            </w:r>
            <w:r w:rsidRPr="000A1B16">
              <w:t>guidelines for approving and implementing special deals</w:t>
            </w:r>
          </w:p>
          <w:p w:rsidR="00000000" w:rsidRPr="000A1B16" w:rsidP="000A1B16">
            <w:pPr>
              <w:pStyle w:val="ListBullet2"/>
            </w:pPr>
            <w:r w:rsidRPr="000A1B16">
              <w:t>document plans and decisions</w:t>
            </w:r>
          </w:p>
          <w:p w:rsidR="00000000" w:rsidRPr="000A1B16" w:rsidP="000A1B16">
            <w:pPr>
              <w:pStyle w:val="ListBullet2"/>
            </w:pPr>
            <w:r w:rsidRPr="000A1B16">
              <w:t>establish, confirm and review trading terms</w:t>
            </w:r>
          </w:p>
          <w:p w:rsidR="00000000" w:rsidRPr="000A1B16" w:rsidP="000A1B16">
            <w:pPr>
              <w:pStyle w:val="ListBullet2"/>
            </w:pPr>
            <w:r w:rsidRPr="000A1B16">
              <w:t>read and interpret information</w:t>
            </w:r>
          </w:p>
          <w:p w:rsidR="00000000" w:rsidRPr="000A1B16" w:rsidP="000A1B16">
            <w:pPr>
              <w:pStyle w:val="ListBullet2"/>
            </w:pPr>
            <w:r w:rsidRPr="000A1B16">
              <w:t>undertake financial and budget planning</w:t>
            </w:r>
          </w:p>
          <w:p w:rsidR="00000000" w:rsidRPr="000A1B16" w:rsidP="000A1B16">
            <w:pPr>
              <w:pStyle w:val="ListBullet"/>
            </w:pPr>
            <w:r w:rsidRPr="000A1B16">
              <w:t>planning and organising skills to:</w:t>
            </w:r>
          </w:p>
          <w:p w:rsidR="00000000" w:rsidRPr="000A1B16" w:rsidP="000A1B16">
            <w:pPr>
              <w:pStyle w:val="ListBullet2"/>
            </w:pPr>
            <w:r w:rsidRPr="000A1B16">
              <w:t>establish procedure</w:t>
            </w:r>
            <w:r w:rsidRPr="000A1B16">
              <w:t>s and policies</w:t>
            </w:r>
          </w:p>
          <w:p w:rsidR="00000000" w:rsidRPr="000A1B16" w:rsidP="000A1B16">
            <w:pPr>
              <w:pStyle w:val="ListBullet2"/>
            </w:pPr>
            <w:r w:rsidRPr="000A1B16">
              <w:t>complete contract reviews</w:t>
            </w:r>
          </w:p>
          <w:p w:rsidR="00000000" w:rsidRPr="000A1B16" w:rsidP="000A1B16">
            <w:pPr>
              <w:pStyle w:val="ListBullet2"/>
            </w:pPr>
            <w:r w:rsidRPr="000A1B16">
              <w:t>conclude business contracts</w:t>
            </w:r>
          </w:p>
          <w:p w:rsidR="00000000" w:rsidRPr="000A1B16" w:rsidP="000A1B16">
            <w:pPr>
              <w:pStyle w:val="ListBullet2"/>
            </w:pPr>
            <w:r w:rsidRPr="000A1B16">
              <w:t>monitor contract performance</w:t>
            </w:r>
          </w:p>
          <w:p w:rsidR="00000000" w:rsidRPr="000A1B16" w:rsidP="000A1B16">
            <w:pPr>
              <w:pStyle w:val="ListBullet"/>
            </w:pPr>
            <w:r w:rsidRPr="000A1B16">
              <w:t>project and contract management skills</w:t>
            </w:r>
          </w:p>
          <w:p w:rsidR="00000000" w:rsidP="000A1B16">
            <w:pPr>
              <w:pStyle w:val="ListBullet"/>
              <w:rPr>
                <w:lang w:val="en-NZ"/>
              </w:rPr>
            </w:pPr>
            <w:r w:rsidRPr="000A1B16">
              <w:t>technical skills to design promotional and merchandising activities</w:t>
            </w:r>
          </w:p>
        </w:tc>
      </w:tr>
      <w:tr w:rsidTr="000A1B16">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rPr>
                <w:rStyle w:val="SpecialBold"/>
              </w:rPr>
              <w:t>Required knowledge</w:t>
            </w:r>
          </w:p>
        </w:tc>
      </w:tr>
      <w:tr w:rsidTr="000A1B16">
        <w:tblPrEx>
          <w:tblW w:w="0" w:type="auto"/>
          <w:tblLayout w:type="fixed"/>
          <w:tblCellMar>
            <w:left w:w="62" w:type="dxa"/>
            <w:right w:w="62" w:type="dxa"/>
          </w:tblCellMar>
          <w:tblLook w:val="0000"/>
        </w:tblPrEx>
        <w:tc>
          <w:tcPr>
            <w:tcW w:w="8930" w:type="dxa"/>
            <w:tcBorders>
              <w:top w:val="nil"/>
              <w:left w:val="nil"/>
              <w:bottom w:val="nil"/>
              <w:right w:val="nil"/>
            </w:tcBorders>
            <w:tcMar>
              <w:top w:w="0" w:type="dxa"/>
              <w:left w:w="62" w:type="dxa"/>
              <w:bottom w:w="0" w:type="dxa"/>
              <w:right w:w="62" w:type="dxa"/>
            </w:tcMar>
          </w:tcPr>
          <w:p w:rsidR="00000000" w:rsidRPr="000A1B16" w:rsidP="000A1B16">
            <w:pPr>
              <w:pStyle w:val="ListBullet"/>
            </w:pPr>
            <w:r w:rsidRPr="000A1B16">
              <w:t>business policy and procedures in relation to:</w:t>
            </w:r>
          </w:p>
          <w:p w:rsidR="00000000" w:rsidRPr="000A1B16" w:rsidP="000A1B16">
            <w:pPr>
              <w:pStyle w:val="ListBullet2"/>
            </w:pPr>
            <w:r w:rsidRPr="000A1B16">
              <w:t>approval processes</w:t>
            </w:r>
          </w:p>
          <w:p w:rsidR="00000000" w:rsidRPr="000A1B16" w:rsidP="000A1B16">
            <w:pPr>
              <w:pStyle w:val="ListBullet2"/>
            </w:pPr>
            <w:r w:rsidRPr="000A1B16">
              <w:t>dealing with internal and external groups and teams</w:t>
            </w:r>
          </w:p>
          <w:p w:rsidR="00000000" w:rsidRPr="000A1B16" w:rsidP="000A1B16">
            <w:pPr>
              <w:pStyle w:val="ListBullet2"/>
            </w:pPr>
            <w:r w:rsidRPr="000A1B16">
              <w:t>negotiating contracts and trading terms</w:t>
            </w:r>
          </w:p>
          <w:p w:rsidR="00000000" w:rsidRPr="000A1B16" w:rsidP="000A1B16">
            <w:pPr>
              <w:pStyle w:val="ListBullet2"/>
            </w:pPr>
            <w:r w:rsidRPr="000A1B16">
              <w:t>quality assurance and control</w:t>
            </w:r>
          </w:p>
          <w:p w:rsidR="00000000" w:rsidRPr="000A1B16" w:rsidP="000A1B16">
            <w:pPr>
              <w:pStyle w:val="ListBullet2"/>
            </w:pPr>
            <w:r w:rsidRPr="000A1B16">
              <w:t>selling and supplying products and services</w:t>
            </w:r>
          </w:p>
          <w:p w:rsidR="00000000" w:rsidRPr="000A1B16" w:rsidP="000A1B16">
            <w:pPr>
              <w:pStyle w:val="ListBullet2"/>
            </w:pPr>
            <w:r w:rsidRPr="000A1B16">
              <w:t>using and maintaining</w:t>
            </w:r>
            <w:r w:rsidRPr="000A1B16">
              <w:t xml:space="preserve"> standard business technology</w:t>
            </w:r>
          </w:p>
          <w:p w:rsidR="00000000" w:rsidRPr="000A1B16" w:rsidP="000A1B16">
            <w:pPr>
              <w:pStyle w:val="ListBullet"/>
            </w:pPr>
            <w:r w:rsidRPr="000A1B16">
              <w:t>competitor activities</w:t>
            </w:r>
          </w:p>
          <w:p w:rsidR="00000000" w:rsidRPr="000A1B16" w:rsidP="000A1B16">
            <w:pPr>
              <w:pStyle w:val="ListBullet"/>
            </w:pPr>
            <w:r w:rsidRPr="000A1B16">
              <w:t>configuration of management systems</w:t>
            </w:r>
          </w:p>
          <w:p w:rsidR="00000000" w:rsidRPr="000A1B16" w:rsidP="000A1B16">
            <w:pPr>
              <w:pStyle w:val="ListBullet"/>
            </w:pPr>
            <w:r w:rsidRPr="000A1B16">
              <w:t>elements that make a successful business partnership or relationship</w:t>
            </w:r>
          </w:p>
          <w:p w:rsidR="00000000" w:rsidRPr="000A1B16" w:rsidP="000A1B16">
            <w:pPr>
              <w:pStyle w:val="ListBullet"/>
            </w:pPr>
            <w:r w:rsidRPr="000A1B16">
              <w:t>features and advantages of a contractual relationship</w:t>
            </w:r>
          </w:p>
          <w:p w:rsidR="00000000" w:rsidRPr="000A1B16" w:rsidP="000A1B16">
            <w:pPr>
              <w:pStyle w:val="ListBullet"/>
            </w:pPr>
            <w:r w:rsidRPr="000A1B16">
              <w:t>information sources on product and supply ar</w:t>
            </w:r>
            <w:r w:rsidRPr="000A1B16">
              <w:t>rangements for customers</w:t>
            </w:r>
          </w:p>
          <w:p w:rsidR="00000000" w:rsidRPr="000A1B16" w:rsidP="000A1B16">
            <w:pPr>
              <w:pStyle w:val="ListBullet"/>
            </w:pPr>
            <w:r w:rsidRPr="000A1B16">
              <w:t>internal and external management systems</w:t>
            </w:r>
          </w:p>
          <w:p w:rsidR="00000000" w:rsidRPr="000A1B16" w:rsidP="000A1B16">
            <w:pPr>
              <w:pStyle w:val="ListBullet"/>
            </w:pPr>
            <w:r w:rsidRPr="000A1B16">
              <w:t>work health and safety (WHS) aspects of job</w:t>
            </w:r>
          </w:p>
          <w:p w:rsidR="00000000" w:rsidRPr="000A1B16" w:rsidP="000A1B16">
            <w:pPr>
              <w:pStyle w:val="ListBullet"/>
            </w:pPr>
            <w:r w:rsidRPr="000A1B16">
              <w:t>principles and techniques in negotiation</w:t>
            </w:r>
          </w:p>
          <w:p w:rsidR="00000000" w:rsidRPr="000A1B16" w:rsidP="000A1B16">
            <w:pPr>
              <w:pStyle w:val="ListBullet"/>
            </w:pPr>
            <w:r w:rsidRPr="000A1B16">
              <w:t>public and private sector purchasing and procurement guidelines and rules</w:t>
            </w:r>
          </w:p>
          <w:p w:rsidR="00000000" w:rsidRPr="000A1B16" w:rsidP="000A1B16">
            <w:pPr>
              <w:pStyle w:val="ListBullet"/>
            </w:pPr>
            <w:r w:rsidRPr="000A1B16">
              <w:t>relevant commercial law and legislation, including:</w:t>
            </w:r>
          </w:p>
          <w:p w:rsidR="00000000" w:rsidRPr="000A1B16" w:rsidP="000A1B16">
            <w:pPr>
              <w:pStyle w:val="ListBullet2"/>
            </w:pPr>
            <w:r w:rsidRPr="000A1B16">
              <w:t>law of contract</w:t>
            </w:r>
          </w:p>
          <w:p w:rsidR="00000000" w:rsidRPr="000A1B16" w:rsidP="000A1B16">
            <w:pPr>
              <w:pStyle w:val="ListBullet2"/>
            </w:pPr>
            <w:r w:rsidRPr="000A1B16">
              <w:t>Australian consumer law relating to the retail industry</w:t>
            </w:r>
          </w:p>
        </w:tc>
      </w:tr>
    </w:tbl>
    <w:p w:rsidR="00000000" w:rsidRPr="000A1B16" w:rsidP="000A1B16">
      <w:pPr>
        <w:pStyle w:val="BodyText"/>
      </w:pPr>
    </w:p>
    <w:p w:rsidR="00000000" w:rsidRPr="000A1B16" w:rsidP="000A1B16">
      <w:pPr>
        <w:pStyle w:val="AllowPageBreak"/>
      </w:pPr>
    </w:p>
    <w:p w:rsidR="00000000" w:rsidRPr="000A1B16" w:rsidP="000A1B16">
      <w:pPr>
        <w:pStyle w:val="Heading1"/>
      </w:pPr>
      <w:bookmarkStart w:id="10" w:name="O_393881"/>
      <w:bookmarkEnd w:id="10"/>
      <w:r w:rsidRPr="000A1B16">
        <w:t>Evidence Guide</w:t>
      </w:r>
    </w:p>
    <w:tbl>
      <w:tblPr>
        <w:tblW w:w="0" w:type="auto"/>
        <w:tblLayout w:type="fixed"/>
        <w:tblCellMar>
          <w:left w:w="62" w:type="dxa"/>
          <w:right w:w="62" w:type="dxa"/>
        </w:tblCellMar>
        <w:tblLook w:val="0000"/>
      </w:tblPr>
      <w:tblGrid>
        <w:gridCol w:w="2522"/>
        <w:gridCol w:w="6408"/>
      </w:tblGrid>
      <w:tr w:rsidTr="000A1B16">
        <w:tblPrEx>
          <w:tblW w:w="0" w:type="auto"/>
          <w:tblLayout w:type="fixed"/>
          <w:tblCellMar>
            <w:left w:w="62" w:type="dxa"/>
            <w:right w:w="62" w:type="dxa"/>
          </w:tblCellMar>
          <w:tblLook w:val="0000"/>
        </w:tblPrEx>
        <w:tc>
          <w:tcPr>
            <w:tcW w:w="8930" w:type="dxa"/>
            <w:gridSpan w:val="2"/>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t>The evidence guide provides advice on assessment and must be read in conjunction with the performance criteria, required skills and knowledge, range statement and the Assessment Guidelines for the Training Package.</w:t>
            </w:r>
          </w:p>
        </w:tc>
      </w:tr>
      <w:tr w:rsidTr="000A1B16">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rPr>
                <w:rStyle w:val="SpecialBold"/>
              </w:rPr>
              <w:t>Critical aspects for assessment and evi</w:t>
            </w:r>
            <w:r w:rsidRPr="000A1B16">
              <w:rPr>
                <w:rStyle w:val="SpecialBold"/>
              </w:rPr>
              <w:t>dence required to demonstrate competency in this unit</w:t>
            </w:r>
          </w:p>
        </w:tc>
        <w:tc>
          <w:tcPr>
            <w:tcW w:w="6408" w:type="dxa"/>
            <w:tcBorders>
              <w:top w:val="nil"/>
              <w:left w:val="nil"/>
              <w:bottom w:val="nil"/>
              <w:right w:val="nil"/>
            </w:tcBorders>
            <w:tcMar>
              <w:top w:w="0" w:type="dxa"/>
              <w:left w:w="62" w:type="dxa"/>
              <w:bottom w:w="0" w:type="dxa"/>
              <w:right w:w="62" w:type="dxa"/>
            </w:tcMar>
          </w:tcPr>
          <w:p w:rsidR="00000000" w:rsidRPr="000A1B16" w:rsidP="000A1B16">
            <w:pPr>
              <w:pStyle w:val="BodyText"/>
            </w:pPr>
            <w:r w:rsidRPr="000A1B16">
              <w:t>Evidence of the following is essential:</w:t>
            </w:r>
          </w:p>
          <w:p w:rsidR="00000000" w:rsidRPr="000A1B16" w:rsidP="000A1B16">
            <w:pPr>
              <w:pStyle w:val="ListBullet"/>
            </w:pPr>
            <w:r w:rsidRPr="000A1B16">
              <w:t>actively negotiates and finalises legally binding contractual agreements with a range of business customers according to company policy</w:t>
            </w:r>
          </w:p>
          <w:p w:rsidR="00000000" w:rsidRPr="000A1B16" w:rsidP="000A1B16">
            <w:pPr>
              <w:pStyle w:val="ListBullet"/>
            </w:pPr>
            <w:r w:rsidRPr="000A1B16">
              <w:t>identifies and understand</w:t>
            </w:r>
            <w:r w:rsidRPr="000A1B16">
              <w:t>s business targets and strategic goals</w:t>
            </w:r>
          </w:p>
          <w:p w:rsidR="00000000" w:rsidRPr="000A1B16" w:rsidP="000A1B16">
            <w:pPr>
              <w:pStyle w:val="ListBullet"/>
            </w:pPr>
            <w:r w:rsidRPr="000A1B16">
              <w:t>manages business contacts and trading terms to achieve agreed business targets and strategic outcomes</w:t>
            </w:r>
          </w:p>
          <w:p w:rsidR="00000000" w:rsidP="000A1B16">
            <w:pPr>
              <w:pStyle w:val="ListBullet"/>
              <w:rPr>
                <w:lang w:val="en-NZ"/>
              </w:rPr>
            </w:pPr>
            <w:r w:rsidRPr="000A1B16">
              <w:t>demonstrates a high level of ethical and personal integrity in conduct of negotiations and management of contractua</w:t>
            </w:r>
            <w:r w:rsidRPr="000A1B16">
              <w:t>l relationships.</w:t>
            </w:r>
          </w:p>
        </w:tc>
      </w:tr>
      <w:tr w:rsidTr="000A1B16">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rPr>
                <w:rStyle w:val="SpecialBold"/>
              </w:rPr>
              <w:t>Context of and specific resources for assessment</w:t>
            </w:r>
          </w:p>
        </w:tc>
        <w:tc>
          <w:tcPr>
            <w:tcW w:w="6408" w:type="dxa"/>
            <w:tcBorders>
              <w:top w:val="nil"/>
              <w:left w:val="nil"/>
              <w:bottom w:val="nil"/>
              <w:right w:val="nil"/>
            </w:tcBorders>
            <w:tcMar>
              <w:top w:w="0" w:type="dxa"/>
              <w:left w:w="62" w:type="dxa"/>
              <w:bottom w:w="0" w:type="dxa"/>
              <w:right w:w="62" w:type="dxa"/>
            </w:tcMar>
          </w:tcPr>
          <w:p w:rsidR="00000000" w:rsidRPr="000A1B16" w:rsidP="000A1B16">
            <w:pPr>
              <w:pStyle w:val="BodyText"/>
            </w:pPr>
            <w:r w:rsidRPr="000A1B16">
              <w:t>Assessment must ensure access to:</w:t>
            </w:r>
          </w:p>
          <w:p w:rsidR="00000000" w:rsidRPr="000A1B16" w:rsidP="000A1B16">
            <w:pPr>
              <w:pStyle w:val="ListBullet"/>
            </w:pPr>
            <w:r w:rsidRPr="000A1B16">
              <w:t>a retail work environment</w:t>
            </w:r>
          </w:p>
          <w:p w:rsidR="00000000" w:rsidRPr="000A1B16" w:rsidP="000A1B16">
            <w:pPr>
              <w:pStyle w:val="ListBullet"/>
            </w:pPr>
            <w:r w:rsidRPr="000A1B16">
              <w:t>relevant documentation, such as:</w:t>
            </w:r>
          </w:p>
          <w:p w:rsidR="00000000" w:rsidRPr="000A1B16" w:rsidP="000A1B16">
            <w:pPr>
              <w:pStyle w:val="ListBullet2"/>
            </w:pPr>
            <w:r w:rsidRPr="000A1B16">
              <w:t>business policy and procedures</w:t>
            </w:r>
          </w:p>
          <w:p w:rsidR="00000000" w:rsidRPr="000A1B16" w:rsidP="000A1B16">
            <w:pPr>
              <w:pStyle w:val="ListBullet2"/>
            </w:pPr>
            <w:r w:rsidRPr="000A1B16">
              <w:t>information on the internal and external operating environment</w:t>
            </w:r>
          </w:p>
          <w:p w:rsidR="00000000" w:rsidP="000A1B16">
            <w:pPr>
              <w:pStyle w:val="ListBullet"/>
              <w:rPr>
                <w:lang w:val="en-NZ"/>
              </w:rPr>
            </w:pPr>
            <w:r w:rsidRPr="000A1B16">
              <w:t>a range of business customers with different requirements.</w:t>
            </w:r>
          </w:p>
        </w:tc>
      </w:tr>
      <w:tr w:rsidTr="000A1B16">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rPr>
                <w:rStyle w:val="SpecialBold"/>
              </w:rPr>
              <w:t>Method of assessment</w:t>
            </w:r>
          </w:p>
        </w:tc>
        <w:tc>
          <w:tcPr>
            <w:tcW w:w="6408" w:type="dxa"/>
            <w:tcBorders>
              <w:top w:val="nil"/>
              <w:left w:val="nil"/>
              <w:bottom w:val="nil"/>
              <w:right w:val="nil"/>
            </w:tcBorders>
            <w:tcMar>
              <w:top w:w="0" w:type="dxa"/>
              <w:left w:w="62" w:type="dxa"/>
              <w:bottom w:w="0" w:type="dxa"/>
              <w:right w:w="62" w:type="dxa"/>
            </w:tcMar>
          </w:tcPr>
          <w:p w:rsidR="00000000" w:rsidRPr="000A1B16" w:rsidP="000A1B16">
            <w:pPr>
              <w:pStyle w:val="BodyText"/>
            </w:pPr>
            <w:r w:rsidRPr="000A1B16">
              <w:t>A range of assessment methods should be used to assess practical skills and knowledge. The following examples are appropriate for this unit:</w:t>
            </w:r>
          </w:p>
          <w:p w:rsidR="00000000" w:rsidRPr="000A1B16" w:rsidP="000A1B16">
            <w:pPr>
              <w:pStyle w:val="ListBullet"/>
            </w:pPr>
            <w:r w:rsidRPr="000A1B16">
              <w:t>observation of performance in</w:t>
            </w:r>
            <w:r w:rsidRPr="000A1B16">
              <w:t xml:space="preserve"> the workplace</w:t>
            </w:r>
          </w:p>
          <w:p w:rsidR="00000000" w:rsidRPr="000A1B16" w:rsidP="000A1B16">
            <w:pPr>
              <w:pStyle w:val="ListBullet"/>
            </w:pPr>
            <w:r w:rsidRPr="000A1B16">
              <w:t>third-party reports from a supervisor</w:t>
            </w:r>
          </w:p>
          <w:p w:rsidR="00000000" w:rsidRPr="000A1B16" w:rsidP="000A1B16">
            <w:pPr>
              <w:pStyle w:val="ListBullet"/>
            </w:pPr>
            <w:r w:rsidRPr="000A1B16">
              <w:t>customer feedback</w:t>
            </w:r>
          </w:p>
          <w:p w:rsidR="00000000" w:rsidRPr="000A1B16" w:rsidP="000A1B16">
            <w:pPr>
              <w:pStyle w:val="ListBullet"/>
            </w:pPr>
            <w:r w:rsidRPr="000A1B16">
              <w:t>review of portfolio of evidence</w:t>
            </w:r>
          </w:p>
          <w:p w:rsidR="00000000" w:rsidP="000A1B16">
            <w:pPr>
              <w:pStyle w:val="ListBullet"/>
              <w:rPr>
                <w:lang w:val="en-NZ"/>
              </w:rPr>
            </w:pPr>
            <w:r w:rsidRPr="000A1B16">
              <w:t>written or verbal questioning to assess knowledge and understanding.</w:t>
            </w:r>
          </w:p>
        </w:tc>
      </w:tr>
      <w:tr w:rsidTr="000A1B16">
        <w:tblPrEx>
          <w:tblW w:w="0" w:type="auto"/>
          <w:tblLayout w:type="fixed"/>
          <w:tblCellMar>
            <w:left w:w="62" w:type="dxa"/>
            <w:right w:w="62" w:type="dxa"/>
          </w:tblCellMar>
          <w:tblLook w:val="0000"/>
        </w:tblPrEx>
        <w:tc>
          <w:tcPr>
            <w:tcW w:w="2522"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rPr>
                <w:rStyle w:val="SpecialBold"/>
              </w:rPr>
              <w:t>Guidance information for assessment</w:t>
            </w:r>
          </w:p>
        </w:tc>
        <w:tc>
          <w:tcPr>
            <w:tcW w:w="6408" w:type="dxa"/>
            <w:tcBorders>
              <w:top w:val="nil"/>
              <w:left w:val="nil"/>
              <w:bottom w:val="nil"/>
              <w:right w:val="nil"/>
            </w:tcBorders>
            <w:tcMar>
              <w:top w:w="0" w:type="dxa"/>
              <w:left w:w="62" w:type="dxa"/>
              <w:bottom w:w="0" w:type="dxa"/>
              <w:right w:w="62" w:type="dxa"/>
            </w:tcMar>
          </w:tcPr>
          <w:p w:rsidR="00000000" w:rsidRPr="000A1B16" w:rsidP="000A1B16">
            <w:pPr>
              <w:pStyle w:val="BodyText"/>
            </w:pPr>
            <w:r w:rsidRPr="000A1B16">
              <w:t>Holistic assessment with other units relevant t</w:t>
            </w:r>
            <w:r w:rsidRPr="000A1B16">
              <w:t>o the industry sector, workplace and job role is recommended.</w:t>
            </w:r>
          </w:p>
        </w:tc>
      </w:tr>
    </w:tbl>
    <w:p w:rsidR="00000000" w:rsidRPr="000A1B16" w:rsidP="000A1B16">
      <w:pPr>
        <w:pStyle w:val="BodyText"/>
      </w:pPr>
    </w:p>
    <w:p w:rsidR="00000000" w:rsidRPr="000A1B16" w:rsidP="000A1B16">
      <w:pPr>
        <w:pStyle w:val="AllowPageBreak"/>
      </w:pPr>
    </w:p>
    <w:p w:rsidR="00000000" w:rsidRPr="000A1B16" w:rsidP="000A1B16">
      <w:pPr>
        <w:pStyle w:val="Heading1"/>
      </w:pPr>
      <w:bookmarkStart w:id="11" w:name="O_393882"/>
      <w:bookmarkEnd w:id="11"/>
      <w:r w:rsidRPr="000A1B16">
        <w:t>Range Statement</w:t>
      </w:r>
    </w:p>
    <w:tbl>
      <w:tblPr>
        <w:tblW w:w="9354" w:type="dxa"/>
        <w:tblLayout w:type="fixed"/>
        <w:tblCellMar>
          <w:left w:w="62" w:type="dxa"/>
          <w:right w:w="62" w:type="dxa"/>
        </w:tblCellMar>
        <w:tblLook w:val="0000"/>
      </w:tblPr>
      <w:tblGrid>
        <w:gridCol w:w="2586"/>
        <w:gridCol w:w="6768"/>
      </w:tblGrid>
      <w:tr w:rsidTr="000A1B16">
        <w:tblPrEx>
          <w:tblW w:w="9354" w:type="dxa"/>
          <w:tblLayout w:type="fixed"/>
          <w:tblCellMar>
            <w:left w:w="62" w:type="dxa"/>
            <w:right w:w="62" w:type="dxa"/>
          </w:tblCellMar>
          <w:tblLook w:val="0000"/>
        </w:tblPrEx>
        <w:tc>
          <w:tcPr>
            <w:tcW w:w="9354" w:type="dxa"/>
            <w:gridSpan w:val="2"/>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t xml:space="preserve">The range statement relates to the unit of competency as a whole. It allows for different work environments and situations that may affect </w:t>
            </w:r>
            <w:r w:rsidRPr="000A1B16">
              <w:t>performance. Bold italicised wording, if used in the performance criteria, is detailed below. Essential operating conditions that may be present with training and assessment (depending on the work situation, needs of the individual, accessibility of the it</w:t>
            </w:r>
            <w:r w:rsidRPr="000A1B16">
              <w:t>em, and local industry and regional contexts) may also be included.</w:t>
            </w:r>
          </w:p>
        </w:tc>
      </w:tr>
      <w:tr w:rsidTr="000A1B16">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rPr>
                <w:rStyle w:val="BoldandItalics"/>
              </w:rPr>
              <w:t>Business policy and procedures</w:t>
            </w:r>
            <w:r w:rsidRPr="000A1B16">
              <w:t xml:space="preserve"> in relation to:</w:t>
            </w:r>
          </w:p>
        </w:tc>
        <w:tc>
          <w:tcPr>
            <w:tcW w:w="6768" w:type="dxa"/>
            <w:tcBorders>
              <w:top w:val="nil"/>
              <w:left w:val="nil"/>
              <w:bottom w:val="nil"/>
              <w:right w:val="nil"/>
            </w:tcBorders>
            <w:tcMar>
              <w:top w:w="0" w:type="dxa"/>
              <w:left w:w="62" w:type="dxa"/>
              <w:bottom w:w="0" w:type="dxa"/>
              <w:right w:w="62" w:type="dxa"/>
            </w:tcMar>
          </w:tcPr>
          <w:p w:rsidR="00000000" w:rsidRPr="000A1B16" w:rsidP="000A1B16">
            <w:pPr>
              <w:pStyle w:val="ListBullet"/>
            </w:pPr>
            <w:r w:rsidRPr="000A1B16">
              <w:t>approval processes</w:t>
            </w:r>
          </w:p>
          <w:p w:rsidR="00000000" w:rsidRPr="000A1B16" w:rsidP="000A1B16">
            <w:pPr>
              <w:pStyle w:val="ListBullet"/>
            </w:pPr>
            <w:r w:rsidRPr="000A1B16">
              <w:t>interaction with clients and customers</w:t>
            </w:r>
          </w:p>
          <w:p w:rsidR="00000000" w:rsidRPr="000A1B16" w:rsidP="000A1B16">
            <w:pPr>
              <w:pStyle w:val="ListBullet"/>
            </w:pPr>
            <w:r w:rsidRPr="000A1B16">
              <w:t>negotiating contracts and trading terms</w:t>
            </w:r>
          </w:p>
          <w:p w:rsidR="00000000" w:rsidRPr="000A1B16" w:rsidP="000A1B16">
            <w:pPr>
              <w:pStyle w:val="ListBullet"/>
            </w:pPr>
            <w:r w:rsidRPr="000A1B16">
              <w:t>quality assurance and control</w:t>
            </w:r>
          </w:p>
          <w:p w:rsidR="00000000" w:rsidP="000A1B16">
            <w:pPr>
              <w:pStyle w:val="ListBullet"/>
              <w:rPr>
                <w:lang w:val="en-NZ"/>
              </w:rPr>
            </w:pPr>
            <w:r w:rsidRPr="000A1B16">
              <w:t>sale and s</w:t>
            </w:r>
            <w:r w:rsidRPr="000A1B16">
              <w:t>upply of products and services.</w:t>
            </w:r>
          </w:p>
        </w:tc>
      </w:tr>
      <w:tr w:rsidTr="000A1B16">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rPr>
                <w:rStyle w:val="BoldandItalics"/>
              </w:rPr>
              <w:t>Promotional and merchandising activities</w:t>
            </w:r>
            <w:r w:rsidRPr="000A1B16">
              <w:t xml:space="preserve"> may vary to accommodate variations in:</w:t>
            </w:r>
          </w:p>
        </w:tc>
        <w:tc>
          <w:tcPr>
            <w:tcW w:w="6768" w:type="dxa"/>
            <w:tcBorders>
              <w:top w:val="nil"/>
              <w:left w:val="nil"/>
              <w:bottom w:val="nil"/>
              <w:right w:val="nil"/>
            </w:tcBorders>
            <w:tcMar>
              <w:top w:w="0" w:type="dxa"/>
              <w:left w:w="62" w:type="dxa"/>
              <w:bottom w:w="0" w:type="dxa"/>
              <w:right w:w="62" w:type="dxa"/>
            </w:tcMar>
          </w:tcPr>
          <w:p w:rsidR="00000000" w:rsidRPr="000A1B16" w:rsidP="000A1B16">
            <w:pPr>
              <w:pStyle w:val="ListBullet"/>
            </w:pPr>
            <w:r w:rsidRPr="000A1B16">
              <w:t>competition</w:t>
            </w:r>
          </w:p>
          <w:p w:rsidR="00000000" w:rsidRPr="000A1B16" w:rsidP="000A1B16">
            <w:pPr>
              <w:pStyle w:val="ListBullet"/>
            </w:pPr>
            <w:r w:rsidRPr="000A1B16">
              <w:t>demographics</w:t>
            </w:r>
          </w:p>
          <w:p w:rsidR="00000000" w:rsidRPr="000A1B16" w:rsidP="000A1B16">
            <w:pPr>
              <w:pStyle w:val="ListBullet"/>
            </w:pPr>
            <w:r w:rsidRPr="000A1B16">
              <w:t>economics</w:t>
            </w:r>
          </w:p>
          <w:p w:rsidR="00000000" w:rsidRPr="000A1B16" w:rsidP="000A1B16">
            <w:pPr>
              <w:pStyle w:val="ListBullet"/>
            </w:pPr>
            <w:r w:rsidRPr="000A1B16">
              <w:t>legal factors</w:t>
            </w:r>
          </w:p>
          <w:p w:rsidR="00000000" w:rsidRPr="000A1B16" w:rsidP="000A1B16">
            <w:pPr>
              <w:pStyle w:val="ListBullet"/>
            </w:pPr>
            <w:r w:rsidRPr="000A1B16">
              <w:t>natural factors</w:t>
            </w:r>
          </w:p>
          <w:p w:rsidR="00000000" w:rsidRPr="000A1B16" w:rsidP="000A1B16">
            <w:pPr>
              <w:pStyle w:val="ListBullet"/>
            </w:pPr>
            <w:r w:rsidRPr="000A1B16">
              <w:t>political influences</w:t>
            </w:r>
          </w:p>
          <w:p w:rsidR="00000000" w:rsidRPr="000A1B16" w:rsidP="000A1B16">
            <w:pPr>
              <w:pStyle w:val="ListBullet"/>
            </w:pPr>
            <w:r w:rsidRPr="000A1B16">
              <w:t>social and cultural factors</w:t>
            </w:r>
          </w:p>
          <w:p w:rsidR="00000000" w:rsidP="000A1B16">
            <w:pPr>
              <w:pStyle w:val="ListBullet"/>
              <w:rPr>
                <w:lang w:val="en-NZ"/>
              </w:rPr>
            </w:pPr>
            <w:r w:rsidRPr="000A1B16">
              <w:t>technology.</w:t>
            </w:r>
          </w:p>
        </w:tc>
      </w:tr>
      <w:tr w:rsidTr="000A1B16">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rPr>
                <w:rStyle w:val="BoldandItalics"/>
              </w:rPr>
              <w:t>Sales and distribution arrangements</w:t>
            </w:r>
            <w:r w:rsidRPr="000A1B16">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0A1B16" w:rsidP="000A1B16">
            <w:pPr>
              <w:pStyle w:val="ListBullet"/>
            </w:pPr>
            <w:r w:rsidRPr="000A1B16">
              <w:t>delivery of products</w:t>
            </w:r>
          </w:p>
          <w:p w:rsidR="00000000" w:rsidRPr="000A1B16" w:rsidP="000A1B16">
            <w:pPr>
              <w:pStyle w:val="ListBullet"/>
            </w:pPr>
            <w:r w:rsidRPr="000A1B16">
              <w:t>leasing agreements and consultancies</w:t>
            </w:r>
          </w:p>
          <w:p w:rsidR="00000000" w:rsidRPr="000A1B16" w:rsidP="000A1B16">
            <w:pPr>
              <w:pStyle w:val="ListBullet"/>
            </w:pPr>
            <w:r w:rsidRPr="000A1B16">
              <w:t>maintenance and support agreements</w:t>
            </w:r>
          </w:p>
          <w:p w:rsidR="00000000" w:rsidRPr="000A1B16" w:rsidP="000A1B16">
            <w:pPr>
              <w:pStyle w:val="ListBullet"/>
            </w:pPr>
            <w:r w:rsidRPr="000A1B16">
              <w:t>provision of services</w:t>
            </w:r>
          </w:p>
          <w:p w:rsidR="00000000" w:rsidP="000A1B16">
            <w:pPr>
              <w:pStyle w:val="ListBullet"/>
              <w:rPr>
                <w:lang w:val="en-NZ"/>
              </w:rPr>
            </w:pPr>
            <w:r w:rsidRPr="000A1B16">
              <w:t>research and development.</w:t>
            </w:r>
          </w:p>
        </w:tc>
      </w:tr>
      <w:tr w:rsidTr="000A1B16">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rPr>
                <w:rStyle w:val="BoldandItalics"/>
              </w:rPr>
              <w:t>Supply arrangements</w:t>
            </w:r>
            <w:r w:rsidRPr="000A1B16">
              <w:t xml:space="preserve"> may relate to:</w:t>
            </w:r>
          </w:p>
        </w:tc>
        <w:tc>
          <w:tcPr>
            <w:tcW w:w="6768" w:type="dxa"/>
            <w:tcBorders>
              <w:top w:val="nil"/>
              <w:left w:val="nil"/>
              <w:bottom w:val="nil"/>
              <w:right w:val="nil"/>
            </w:tcBorders>
            <w:tcMar>
              <w:top w:w="0" w:type="dxa"/>
              <w:left w:w="62" w:type="dxa"/>
              <w:bottom w:w="0" w:type="dxa"/>
              <w:right w:w="62" w:type="dxa"/>
            </w:tcMar>
          </w:tcPr>
          <w:p w:rsidR="00000000" w:rsidRPr="000A1B16" w:rsidP="000A1B16">
            <w:pPr>
              <w:pStyle w:val="ListBullet"/>
            </w:pPr>
            <w:r w:rsidRPr="000A1B16">
              <w:t>cost</w:t>
            </w:r>
          </w:p>
          <w:p w:rsidR="00000000" w:rsidRPr="000A1B16" w:rsidP="000A1B16">
            <w:pPr>
              <w:pStyle w:val="ListBullet"/>
            </w:pPr>
            <w:r w:rsidRPr="000A1B16">
              <w:t>coverage and content</w:t>
            </w:r>
          </w:p>
          <w:p w:rsidR="00000000" w:rsidRPr="000A1B16" w:rsidP="000A1B16">
            <w:pPr>
              <w:pStyle w:val="ListBullet"/>
            </w:pPr>
            <w:r w:rsidRPr="000A1B16">
              <w:t>quality</w:t>
            </w:r>
          </w:p>
          <w:p w:rsidR="00000000" w:rsidRPr="000A1B16" w:rsidP="000A1B16">
            <w:pPr>
              <w:pStyle w:val="ListBullet"/>
            </w:pPr>
            <w:r w:rsidRPr="000A1B16">
              <w:t>quantity</w:t>
            </w:r>
          </w:p>
          <w:p w:rsidR="00000000" w:rsidP="000A1B16">
            <w:pPr>
              <w:pStyle w:val="ListBullet"/>
              <w:rPr>
                <w:lang w:val="en-NZ"/>
              </w:rPr>
            </w:pPr>
            <w:r w:rsidRPr="000A1B16">
              <w:t>time schedules.</w:t>
            </w:r>
          </w:p>
        </w:tc>
      </w:tr>
      <w:tr w:rsidTr="000A1B16">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rPr>
                <w:rStyle w:val="BoldandItalics"/>
              </w:rPr>
              <w:t xml:space="preserve">Relevant staff </w:t>
            </w:r>
            <w:r w:rsidRPr="000A1B16">
              <w:t>may include:</w:t>
            </w:r>
          </w:p>
        </w:tc>
        <w:tc>
          <w:tcPr>
            <w:tcW w:w="6768" w:type="dxa"/>
            <w:tcBorders>
              <w:top w:val="nil"/>
              <w:left w:val="nil"/>
              <w:bottom w:val="nil"/>
              <w:right w:val="nil"/>
            </w:tcBorders>
            <w:tcMar>
              <w:top w:w="0" w:type="dxa"/>
              <w:left w:w="62" w:type="dxa"/>
              <w:bottom w:w="0" w:type="dxa"/>
              <w:right w:w="62" w:type="dxa"/>
            </w:tcMar>
          </w:tcPr>
          <w:p w:rsidR="00000000" w:rsidRPr="000A1B16" w:rsidP="000A1B16">
            <w:pPr>
              <w:pStyle w:val="ListBullet"/>
            </w:pPr>
            <w:r w:rsidRPr="000A1B16">
              <w:t>employees</w:t>
            </w:r>
          </w:p>
          <w:p w:rsidR="00000000" w:rsidRPr="000A1B16" w:rsidP="000A1B16">
            <w:pPr>
              <w:pStyle w:val="ListBullet"/>
            </w:pPr>
            <w:r w:rsidRPr="000A1B16">
              <w:t>internal or external contacts</w:t>
            </w:r>
          </w:p>
          <w:p w:rsidR="00000000" w:rsidRPr="000A1B16" w:rsidP="000A1B16">
            <w:pPr>
              <w:pStyle w:val="ListBullet"/>
            </w:pPr>
            <w:r w:rsidRPr="000A1B16">
              <w:t>relevant managers</w:t>
            </w:r>
          </w:p>
          <w:p w:rsidR="00000000" w:rsidP="000A1B16">
            <w:pPr>
              <w:pStyle w:val="ListBullet"/>
              <w:rPr>
                <w:lang w:val="en-NZ"/>
              </w:rPr>
            </w:pPr>
            <w:r w:rsidRPr="000A1B16">
              <w:t>supervisors.</w:t>
            </w:r>
          </w:p>
        </w:tc>
      </w:tr>
      <w:tr w:rsidTr="000A1B16">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rPr>
                <w:rStyle w:val="BoldandItalics"/>
              </w:rPr>
              <w:t>Negotiation</w:t>
            </w:r>
            <w:r w:rsidRPr="000A1B16">
              <w:t xml:space="preserve"> issues may include:</w:t>
            </w:r>
          </w:p>
        </w:tc>
        <w:tc>
          <w:tcPr>
            <w:tcW w:w="6768" w:type="dxa"/>
            <w:tcBorders>
              <w:top w:val="nil"/>
              <w:left w:val="nil"/>
              <w:bottom w:val="nil"/>
              <w:right w:val="nil"/>
            </w:tcBorders>
            <w:tcMar>
              <w:top w:w="0" w:type="dxa"/>
              <w:left w:w="62" w:type="dxa"/>
              <w:bottom w:w="0" w:type="dxa"/>
              <w:right w:w="62" w:type="dxa"/>
            </w:tcMar>
          </w:tcPr>
          <w:p w:rsidR="00000000" w:rsidRPr="000A1B16" w:rsidP="000A1B16">
            <w:pPr>
              <w:pStyle w:val="ListBullet"/>
            </w:pPr>
            <w:r w:rsidRPr="000A1B16">
              <w:t>contract variations, including ability to vary or modify targets, processes and clauses</w:t>
            </w:r>
          </w:p>
          <w:p w:rsidR="00000000" w:rsidRPr="000A1B16" w:rsidP="000A1B16">
            <w:pPr>
              <w:pStyle w:val="ListBullet"/>
            </w:pPr>
            <w:r w:rsidRPr="000A1B16">
              <w:t>innovations</w:t>
            </w:r>
          </w:p>
          <w:p w:rsidR="00000000" w:rsidRPr="000A1B16" w:rsidP="000A1B16">
            <w:pPr>
              <w:pStyle w:val="ListBullet"/>
            </w:pPr>
            <w:r w:rsidRPr="000A1B16">
              <w:t>modification and amendment rights</w:t>
            </w:r>
          </w:p>
          <w:p w:rsidR="00000000" w:rsidP="000A1B16">
            <w:pPr>
              <w:pStyle w:val="ListBullet"/>
              <w:rPr>
                <w:lang w:val="en-NZ"/>
              </w:rPr>
            </w:pPr>
            <w:r w:rsidRPr="000A1B16">
              <w:t>scope.</w:t>
            </w:r>
          </w:p>
        </w:tc>
      </w:tr>
      <w:tr w:rsidTr="000A1B16">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rPr>
                <w:rStyle w:val="BoldandItalics"/>
              </w:rPr>
              <w:t>Business customers</w:t>
            </w:r>
            <w:r w:rsidRPr="000A1B16">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0A1B16" w:rsidP="000A1B16">
            <w:pPr>
              <w:pStyle w:val="ListBullet"/>
            </w:pPr>
            <w:r w:rsidRPr="000A1B16">
              <w:t>commercial enterprises</w:t>
            </w:r>
          </w:p>
          <w:p w:rsidR="00000000" w:rsidRPr="000A1B16" w:rsidP="000A1B16">
            <w:pPr>
              <w:pStyle w:val="ListBullet"/>
            </w:pPr>
            <w:r w:rsidRPr="000A1B16">
              <w:t>community and not-for-profit organisations</w:t>
            </w:r>
          </w:p>
          <w:p w:rsidR="00000000" w:rsidRPr="000A1B16" w:rsidP="000A1B16">
            <w:pPr>
              <w:pStyle w:val="ListBullet"/>
            </w:pPr>
            <w:r w:rsidRPr="000A1B16">
              <w:t>governments</w:t>
            </w:r>
          </w:p>
          <w:p w:rsidR="00000000" w:rsidRPr="000A1B16" w:rsidP="000A1B16">
            <w:pPr>
              <w:pStyle w:val="ListBullet"/>
            </w:pPr>
            <w:r w:rsidRPr="000A1B16">
              <w:t>internal business units and divisions</w:t>
            </w:r>
          </w:p>
          <w:p w:rsidR="00000000" w:rsidP="000A1B16">
            <w:pPr>
              <w:pStyle w:val="ListBullet"/>
              <w:rPr>
                <w:lang w:val="en-NZ"/>
              </w:rPr>
            </w:pPr>
            <w:r w:rsidRPr="000A1B16">
              <w:t>public agencies or organisations.</w:t>
            </w:r>
          </w:p>
        </w:tc>
      </w:tr>
      <w:tr w:rsidTr="000A1B16">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rPr>
                <w:rStyle w:val="BoldandItalics"/>
              </w:rPr>
              <w:t>Expert advice</w:t>
            </w:r>
            <w:r w:rsidRPr="000A1B16">
              <w:t xml:space="preserve"> may </w:t>
            </w:r>
            <w:r w:rsidRPr="000A1B16">
              <w:t>be sought from a range of professionals, including:</w:t>
            </w:r>
          </w:p>
        </w:tc>
        <w:tc>
          <w:tcPr>
            <w:tcW w:w="6768" w:type="dxa"/>
            <w:tcBorders>
              <w:top w:val="nil"/>
              <w:left w:val="nil"/>
              <w:bottom w:val="nil"/>
              <w:right w:val="nil"/>
            </w:tcBorders>
            <w:tcMar>
              <w:top w:w="0" w:type="dxa"/>
              <w:left w:w="62" w:type="dxa"/>
              <w:bottom w:w="0" w:type="dxa"/>
              <w:right w:w="62" w:type="dxa"/>
            </w:tcMar>
          </w:tcPr>
          <w:p w:rsidR="00000000" w:rsidRPr="000A1B16" w:rsidP="000A1B16">
            <w:pPr>
              <w:pStyle w:val="ListBullet"/>
            </w:pPr>
            <w:r w:rsidRPr="000A1B16">
              <w:t>accountants and auditors</w:t>
            </w:r>
          </w:p>
          <w:p w:rsidR="00000000" w:rsidRPr="000A1B16" w:rsidP="000A1B16">
            <w:pPr>
              <w:pStyle w:val="ListBullet"/>
            </w:pPr>
            <w:r w:rsidRPr="000A1B16">
              <w:t>industry association advisory services</w:t>
            </w:r>
          </w:p>
          <w:p w:rsidR="00000000" w:rsidRPr="000A1B16" w:rsidP="000A1B16">
            <w:pPr>
              <w:pStyle w:val="ListBullet"/>
            </w:pPr>
            <w:r w:rsidRPr="000A1B16">
              <w:t>in-house or external lawyers</w:t>
            </w:r>
          </w:p>
          <w:p w:rsidR="00000000" w:rsidP="000A1B16">
            <w:pPr>
              <w:pStyle w:val="ListBullet"/>
              <w:rPr>
                <w:lang w:val="en-NZ"/>
              </w:rPr>
            </w:pPr>
            <w:r w:rsidRPr="000A1B16">
              <w:t>senior in-house staff.</w:t>
            </w:r>
          </w:p>
        </w:tc>
      </w:tr>
      <w:tr w:rsidTr="000A1B16">
        <w:tblPrEx>
          <w:tblW w:w="9354" w:type="dxa"/>
          <w:tblLayout w:type="fixed"/>
          <w:tblCellMar>
            <w:left w:w="62" w:type="dxa"/>
            <w:right w:w="62" w:type="dxa"/>
          </w:tblCellMar>
          <w:tblLook w:val="0000"/>
        </w:tblPrEx>
        <w:tc>
          <w:tcPr>
            <w:tcW w:w="2586" w:type="dxa"/>
            <w:tcBorders>
              <w:top w:val="nil"/>
              <w:left w:val="nil"/>
              <w:bottom w:val="nil"/>
              <w:right w:val="nil"/>
            </w:tcBorders>
            <w:tcMar>
              <w:top w:w="0" w:type="dxa"/>
              <w:left w:w="62" w:type="dxa"/>
              <w:bottom w:w="0" w:type="dxa"/>
              <w:right w:w="62" w:type="dxa"/>
            </w:tcMar>
          </w:tcPr>
          <w:p w:rsidR="00000000" w:rsidP="000A1B16">
            <w:pPr>
              <w:pStyle w:val="BodyText"/>
              <w:rPr>
                <w:lang w:val="en-NZ"/>
              </w:rPr>
            </w:pPr>
            <w:r w:rsidRPr="000A1B16">
              <w:rPr>
                <w:rStyle w:val="BoldandItalics"/>
              </w:rPr>
              <w:t>Contractual arrangements</w:t>
            </w:r>
            <w:r w:rsidRPr="000A1B16">
              <w:t xml:space="preserve"> may include:</w:t>
            </w:r>
          </w:p>
        </w:tc>
        <w:tc>
          <w:tcPr>
            <w:tcW w:w="6768" w:type="dxa"/>
            <w:tcBorders>
              <w:top w:val="nil"/>
              <w:left w:val="nil"/>
              <w:bottom w:val="nil"/>
              <w:right w:val="nil"/>
            </w:tcBorders>
            <w:tcMar>
              <w:top w:w="0" w:type="dxa"/>
              <w:left w:w="62" w:type="dxa"/>
              <w:bottom w:w="0" w:type="dxa"/>
              <w:right w:w="62" w:type="dxa"/>
            </w:tcMar>
          </w:tcPr>
          <w:p w:rsidR="00000000" w:rsidRPr="000A1B16" w:rsidP="000A1B16">
            <w:pPr>
              <w:pStyle w:val="ListBullet"/>
            </w:pPr>
            <w:r w:rsidRPr="000A1B16">
              <w:t>common-use arrangements or standing offers</w:t>
            </w:r>
          </w:p>
          <w:p w:rsidR="00000000" w:rsidRPr="000A1B16" w:rsidP="000A1B16">
            <w:pPr>
              <w:pStyle w:val="ListBullet"/>
            </w:pPr>
            <w:r w:rsidRPr="000A1B16">
              <w:t>consequences</w:t>
            </w:r>
          </w:p>
          <w:p w:rsidR="00000000" w:rsidRPr="000A1B16" w:rsidP="000A1B16">
            <w:pPr>
              <w:pStyle w:val="ListBullet"/>
            </w:pPr>
            <w:r w:rsidRPr="000A1B16">
              <w:t>contracts, including:</w:t>
            </w:r>
          </w:p>
          <w:p w:rsidR="00000000" w:rsidRPr="000A1B16" w:rsidP="000A1B16">
            <w:pPr>
              <w:pStyle w:val="ListBullet2"/>
            </w:pPr>
            <w:r w:rsidRPr="000A1B16">
              <w:t>contracts as detailed under Australian consumer law</w:t>
            </w:r>
          </w:p>
          <w:p w:rsidR="00000000" w:rsidRPr="000A1B16" w:rsidP="000A1B16">
            <w:pPr>
              <w:pStyle w:val="ListBullet2"/>
            </w:pPr>
            <w:r w:rsidRPr="000A1B16">
              <w:t>external contracts</w:t>
            </w:r>
          </w:p>
          <w:p w:rsidR="00000000" w:rsidRPr="000A1B16" w:rsidP="000A1B16">
            <w:pPr>
              <w:pStyle w:val="ListBullet"/>
            </w:pPr>
            <w:r w:rsidRPr="000A1B16">
              <w:t>in-house service level agreements</w:t>
            </w:r>
          </w:p>
          <w:p w:rsidR="00000000" w:rsidRPr="000A1B16" w:rsidP="000A1B16">
            <w:pPr>
              <w:pStyle w:val="ListBullet"/>
            </w:pPr>
            <w:r w:rsidRPr="000A1B16">
              <w:t>letters of appointment or intent</w:t>
            </w:r>
          </w:p>
          <w:p w:rsidR="00000000" w:rsidRPr="000A1B16" w:rsidP="000A1B16">
            <w:pPr>
              <w:pStyle w:val="ListBullet"/>
            </w:pPr>
            <w:r w:rsidRPr="000A1B16">
              <w:t>memorandums of understanding or memorandums of agreement</w:t>
            </w:r>
          </w:p>
          <w:p w:rsidR="00000000" w:rsidRPr="000A1B16" w:rsidP="000A1B16">
            <w:pPr>
              <w:pStyle w:val="ListBullet"/>
            </w:pPr>
            <w:r w:rsidRPr="000A1B16">
              <w:t>non</w:t>
            </w:r>
            <w:r w:rsidRPr="000A1B16">
              <w:noBreakHyphen/>
              <w:t>compliance</w:t>
            </w:r>
          </w:p>
          <w:p w:rsidR="00000000" w:rsidRPr="000A1B16" w:rsidP="000A1B16">
            <w:pPr>
              <w:pStyle w:val="ListBullet"/>
            </w:pPr>
            <w:r w:rsidRPr="000A1B16">
              <w:t>petty cash</w:t>
            </w:r>
          </w:p>
          <w:p w:rsidR="00000000" w:rsidRPr="000A1B16" w:rsidP="000A1B16">
            <w:pPr>
              <w:pStyle w:val="ListBullet"/>
            </w:pPr>
            <w:r w:rsidRPr="000A1B16">
              <w:t>purchase order</w:t>
            </w:r>
          </w:p>
          <w:p w:rsidR="00000000" w:rsidRPr="000A1B16" w:rsidP="000A1B16">
            <w:pPr>
              <w:pStyle w:val="ListBullet"/>
            </w:pPr>
            <w:r w:rsidRPr="000A1B16">
              <w:t>trade partners</w:t>
            </w:r>
          </w:p>
          <w:p w:rsidR="00000000" w:rsidRPr="000A1B16" w:rsidP="000A1B16">
            <w:pPr>
              <w:pStyle w:val="ListBullet"/>
            </w:pPr>
            <w:r w:rsidRPr="000A1B16">
              <w:t>verbal and written orders.</w:t>
            </w:r>
          </w:p>
        </w:tc>
      </w:tr>
    </w:tbl>
    <w:p w:rsidR="00000000" w:rsidRPr="000A1B16" w:rsidP="000A1B16">
      <w:pPr>
        <w:pStyle w:val="BodyText"/>
      </w:pPr>
    </w:p>
    <w:p w:rsidR="00000000" w:rsidRPr="000A1B16" w:rsidP="000A1B16">
      <w:pPr>
        <w:pStyle w:val="AllowPageBreak"/>
      </w:pPr>
    </w:p>
    <w:p w:rsidR="00000000" w:rsidRPr="000A1B16" w:rsidP="000A1B16">
      <w:pPr>
        <w:pStyle w:val="Heading1"/>
      </w:pPr>
      <w:bookmarkStart w:id="12" w:name="O_393883"/>
      <w:bookmarkEnd w:id="12"/>
      <w:r w:rsidRPr="000A1B16">
        <w:t>Unit Sector(s)</w:t>
      </w:r>
    </w:p>
    <w:p w:rsidR="00000000" w:rsidRPr="000A1B16" w:rsidP="000A1B16">
      <w:pPr>
        <w:pStyle w:val="BodyText"/>
      </w:pPr>
      <w:r w:rsidRPr="000A1B16">
        <w:t>Cross-Sector</w:t>
      </w:r>
    </w:p>
    <w:p w:rsidR="00000000" w:rsidRPr="000A1B16" w:rsidP="000A1B16">
      <w:pPr>
        <w:pStyle w:val="AllowPageBreak"/>
      </w:pPr>
    </w:p>
    <w:p w:rsidR="00000000" w:rsidRPr="000A1B16" w:rsidP="000A1B16">
      <w:pPr>
        <w:pStyle w:val="Heading1"/>
      </w:pPr>
      <w:bookmarkStart w:id="13" w:name="O_406112"/>
      <w:bookmarkEnd w:id="13"/>
      <w:r w:rsidRPr="000A1B16">
        <w:t>Competency Field</w:t>
      </w:r>
    </w:p>
    <w:p w:rsidR="00000000" w:rsidRPr="000A1B16" w:rsidP="000A1B16">
      <w:pPr>
        <w:pStyle w:val="BodyText"/>
      </w:pPr>
      <w:r w:rsidRPr="000A1B16">
        <w:t>Client and Customer Service</w:t>
      </w:r>
    </w:p>
    <w:p w:rsidR="00000000" w:rsidRPr="000A1B16" w:rsidP="000A1B16"/>
    <w:sectPr w:rsidSect="000A1B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33BD7" w:rsidP="00533BD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D7" w:rsidP="000A1B1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33BD7" w:rsidP="000A1B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33BD7" w:rsidP="000A1B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16" w:rsidRPr="00533BD7" w:rsidP="00533BD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B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3BD7" w:rsidP="000A1B16">
    <w:pPr>
      <w:pStyle w:val="Header"/>
      <w:framePr w:wrap="around"/>
    </w:pPr>
    <w:r>
      <w:fldChar w:fldCharType="begin"/>
    </w:r>
    <w:r>
      <w:instrText xml:space="preserve"> TITLE   \* MERGEFORMAT </w:instrText>
    </w:r>
    <w:r>
      <w:fldChar w:fldCharType="separate"/>
    </w:r>
    <w:r>
      <w:t>SIRXCCS509 Manage business customers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533BD7" w:rsidP="000A1B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10C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72C8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FEB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B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1B16"/>
    <w:pPr>
      <w:spacing w:before="360" w:after="60"/>
      <w:outlineLvl w:val="0"/>
    </w:pPr>
    <w:rPr>
      <w:sz w:val="32"/>
    </w:rPr>
  </w:style>
  <w:style w:type="paragraph" w:styleId="Heading2">
    <w:name w:val="heading 2"/>
    <w:basedOn w:val="HeadingBase"/>
    <w:next w:val="BodyText"/>
    <w:link w:val="Heading2Char"/>
    <w:qFormat/>
    <w:rsid w:val="000A1B16"/>
    <w:pPr>
      <w:keepLines/>
      <w:spacing w:before="240" w:after="120"/>
      <w:outlineLvl w:val="1"/>
    </w:pPr>
    <w:rPr>
      <w:sz w:val="28"/>
      <w:szCs w:val="40"/>
    </w:rPr>
  </w:style>
  <w:style w:type="paragraph" w:styleId="Heading3">
    <w:name w:val="heading 3"/>
    <w:basedOn w:val="HeadingBase"/>
    <w:next w:val="BodyText"/>
    <w:link w:val="Heading3Char"/>
    <w:qFormat/>
    <w:rsid w:val="000A1B16"/>
    <w:pPr>
      <w:spacing w:before="180" w:after="120"/>
      <w:outlineLvl w:val="2"/>
    </w:pPr>
    <w:rPr>
      <w:spacing w:val="-10"/>
      <w:kern w:val="32"/>
    </w:rPr>
  </w:style>
  <w:style w:type="paragraph" w:styleId="Heading4">
    <w:name w:val="heading 4"/>
    <w:basedOn w:val="HeadingBase"/>
    <w:next w:val="BodyText"/>
    <w:link w:val="Heading4Char"/>
    <w:qFormat/>
    <w:rsid w:val="000A1B16"/>
    <w:pPr>
      <w:spacing w:before="160" w:after="120"/>
      <w:outlineLvl w:val="3"/>
    </w:pPr>
    <w:rPr>
      <w:sz w:val="22"/>
    </w:rPr>
  </w:style>
  <w:style w:type="paragraph" w:styleId="Heading5">
    <w:name w:val="heading 5"/>
    <w:basedOn w:val="HeadingBase"/>
    <w:next w:val="Normal"/>
    <w:link w:val="Heading5Char"/>
    <w:qFormat/>
    <w:rsid w:val="000A1B16"/>
    <w:pPr>
      <w:spacing w:before="80"/>
      <w:outlineLvl w:val="4"/>
    </w:pPr>
    <w:rPr>
      <w:color w:val="918585"/>
      <w:sz w:val="20"/>
    </w:rPr>
  </w:style>
  <w:style w:type="paragraph" w:styleId="Heading6">
    <w:name w:val="heading 6"/>
    <w:basedOn w:val="HeadingBase"/>
    <w:next w:val="Normal"/>
    <w:link w:val="Heading6Char"/>
    <w:qFormat/>
    <w:rsid w:val="000A1B16"/>
    <w:pPr>
      <w:spacing w:before="60"/>
      <w:outlineLvl w:val="5"/>
    </w:pPr>
    <w:rPr>
      <w:color w:val="918585"/>
      <w:sz w:val="20"/>
    </w:rPr>
  </w:style>
  <w:style w:type="paragraph" w:styleId="Heading7">
    <w:name w:val="heading 7"/>
    <w:basedOn w:val="Normal"/>
    <w:next w:val="Normal"/>
    <w:link w:val="Heading7Char"/>
    <w:qFormat/>
    <w:rsid w:val="000A1B16"/>
    <w:pPr>
      <w:ind w:left="720"/>
      <w:outlineLvl w:val="6"/>
    </w:pPr>
    <w:rPr>
      <w:i/>
    </w:rPr>
  </w:style>
  <w:style w:type="paragraph" w:styleId="Heading8">
    <w:name w:val="heading 8"/>
    <w:basedOn w:val="Normal"/>
    <w:next w:val="Normal"/>
    <w:link w:val="Heading8Char"/>
    <w:qFormat/>
    <w:rsid w:val="000A1B16"/>
    <w:pPr>
      <w:ind w:left="720"/>
      <w:outlineLvl w:val="7"/>
    </w:pPr>
    <w:rPr>
      <w:i/>
    </w:rPr>
  </w:style>
  <w:style w:type="paragraph" w:styleId="Heading9">
    <w:name w:val="heading 9"/>
    <w:basedOn w:val="Normal"/>
    <w:next w:val="Normal"/>
    <w:link w:val="Heading9Char"/>
    <w:qFormat/>
    <w:rsid w:val="000A1B16"/>
    <w:pPr>
      <w:ind w:left="720"/>
      <w:outlineLvl w:val="8"/>
    </w:pPr>
    <w:rPr>
      <w:i/>
    </w:rPr>
  </w:style>
  <w:style w:type="character" w:default="1" w:styleId="DefaultParagraphFont">
    <w:name w:val="Default Paragraph Font"/>
    <w:uiPriority w:val="1"/>
    <w:unhideWhenUsed/>
    <w:rsid w:val="000A1B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1B16"/>
  </w:style>
  <w:style w:type="character" w:customStyle="1" w:styleId="Heading1Char">
    <w:name w:val="Heading 1 Char"/>
    <w:basedOn w:val="DefaultParagraphFont"/>
    <w:link w:val="Heading1"/>
    <w:rsid w:val="000A1B16"/>
    <w:rPr>
      <w:rFonts w:ascii="Times New Roman" w:eastAsia="Times New Roman" w:hAnsi="Times New Roman" w:cs="Times New Roman"/>
      <w:b/>
      <w:sz w:val="32"/>
      <w:szCs w:val="20"/>
      <w:lang w:eastAsia="en-US"/>
    </w:rPr>
  </w:style>
  <w:style w:type="paragraph" w:styleId="BodyText">
    <w:name w:val="Body Text"/>
    <w:basedOn w:val="Normal"/>
    <w:link w:val="BodyTextChar"/>
    <w:rsid w:val="000A1B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1B16"/>
    <w:rPr>
      <w:rFonts w:ascii="Times New Roman" w:eastAsia="Times New Roman" w:hAnsi="Times New Roman" w:cs="Times New Roman"/>
      <w:sz w:val="24"/>
      <w:lang w:eastAsia="en-US"/>
    </w:rPr>
  </w:style>
  <w:style w:type="paragraph" w:styleId="Footer">
    <w:name w:val="footer"/>
    <w:basedOn w:val="Normal"/>
    <w:link w:val="FooterChar"/>
    <w:rsid w:val="000A1B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1B16"/>
    <w:rPr>
      <w:rFonts w:ascii="Times New Roman" w:eastAsia="Times New Roman" w:hAnsi="Times New Roman" w:cs="Times New Roman"/>
      <w:sz w:val="16"/>
      <w:lang w:eastAsia="en-US"/>
    </w:rPr>
  </w:style>
  <w:style w:type="paragraph" w:styleId="List">
    <w:name w:val="List"/>
    <w:basedOn w:val="BodyText"/>
    <w:next w:val="BodyText"/>
    <w:rsid w:val="000A1B16"/>
    <w:pPr>
      <w:tabs>
        <w:tab w:val="left" w:pos="340"/>
      </w:tabs>
      <w:spacing w:before="60" w:after="60"/>
      <w:ind w:left="340" w:hanging="340"/>
    </w:pPr>
  </w:style>
  <w:style w:type="paragraph" w:styleId="ListBullet">
    <w:name w:val="List Bullet"/>
    <w:basedOn w:val="List"/>
    <w:rsid w:val="000A1B16"/>
    <w:pPr>
      <w:numPr>
        <w:numId w:val="13"/>
      </w:numPr>
      <w:tabs>
        <w:tab w:val="clear" w:pos="340"/>
      </w:tabs>
      <w:spacing w:before="40" w:after="40"/>
    </w:pPr>
  </w:style>
  <w:style w:type="character" w:customStyle="1" w:styleId="SpecialBold">
    <w:name w:val="Special Bold"/>
    <w:basedOn w:val="DefaultParagraphFont"/>
    <w:rsid w:val="000A1B16"/>
    <w:rPr>
      <w:b/>
      <w:spacing w:val="0"/>
    </w:rPr>
  </w:style>
  <w:style w:type="paragraph" w:styleId="ListBullet2">
    <w:name w:val="List Bullet 2"/>
    <w:basedOn w:val="List2"/>
    <w:rsid w:val="000A1B16"/>
    <w:pPr>
      <w:numPr>
        <w:numId w:val="14"/>
      </w:numPr>
      <w:tabs>
        <w:tab w:val="clear" w:pos="680"/>
      </w:tabs>
    </w:pPr>
  </w:style>
  <w:style w:type="paragraph" w:customStyle="1" w:styleId="SuperHeading">
    <w:name w:val="SuperHeading"/>
    <w:basedOn w:val="Normal"/>
    <w:rsid w:val="000A1B16"/>
    <w:pPr>
      <w:spacing w:before="240" w:after="120"/>
      <w:outlineLvl w:val="0"/>
    </w:pPr>
    <w:rPr>
      <w:rFonts w:ascii="Times New Roman" w:hAnsi="Times New Roman"/>
      <w:b/>
      <w:sz w:val="28"/>
    </w:rPr>
  </w:style>
  <w:style w:type="paragraph" w:customStyle="1" w:styleId="AllowPageBreak">
    <w:name w:val="AllowPageBreak"/>
    <w:rsid w:val="000A1B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1B16"/>
    <w:rPr>
      <w:b/>
      <w:i/>
      <w:u w:val="none"/>
    </w:rPr>
  </w:style>
  <w:style w:type="character" w:customStyle="1" w:styleId="Heading2Char">
    <w:name w:val="Heading 2 Char"/>
    <w:basedOn w:val="DefaultParagraphFont"/>
    <w:link w:val="Heading2"/>
    <w:rsid w:val="000A1B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1B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1B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1B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1B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1B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1B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1B16"/>
    <w:rPr>
      <w:rFonts w:ascii="Courier New" w:eastAsia="Times New Roman" w:hAnsi="Courier New" w:cs="Times New Roman"/>
      <w:i/>
      <w:szCs w:val="20"/>
      <w:lang w:eastAsia="en-US"/>
    </w:rPr>
  </w:style>
  <w:style w:type="paragraph" w:customStyle="1" w:styleId="HeadingBase">
    <w:name w:val="Heading Base"/>
    <w:rsid w:val="000A1B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1B16"/>
    <w:pPr>
      <w:tabs>
        <w:tab w:val="right" w:leader="dot" w:pos="9072"/>
      </w:tabs>
      <w:ind w:left="567"/>
    </w:pPr>
    <w:rPr>
      <w:szCs w:val="22"/>
    </w:rPr>
  </w:style>
  <w:style w:type="paragraph" w:customStyle="1" w:styleId="TOCBase">
    <w:name w:val="TOC Base"/>
    <w:rsid w:val="000A1B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1B16"/>
    <w:pPr>
      <w:tabs>
        <w:tab w:val="right" w:leader="dot" w:pos="9072"/>
      </w:tabs>
      <w:spacing w:before="40" w:after="40"/>
      <w:ind w:left="284"/>
    </w:pPr>
    <w:rPr>
      <w:rFonts w:ascii="Times New Roman" w:hAnsi="Times New Roman"/>
    </w:rPr>
  </w:style>
  <w:style w:type="paragraph" w:styleId="TOC1">
    <w:name w:val="toc 1"/>
    <w:basedOn w:val="TOCBase"/>
    <w:next w:val="Normal"/>
    <w:rsid w:val="000A1B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1B16"/>
    <w:pPr>
      <w:spacing w:before="5040"/>
      <w:jc w:val="center"/>
    </w:pPr>
    <w:rPr>
      <w:sz w:val="48"/>
      <w:szCs w:val="72"/>
      <w:lang w:val="en-US"/>
    </w:rPr>
  </w:style>
  <w:style w:type="character" w:customStyle="1" w:styleId="TitleChar">
    <w:name w:val="Title Char"/>
    <w:basedOn w:val="DefaultParagraphFont"/>
    <w:link w:val="Title"/>
    <w:rsid w:val="000A1B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1B16"/>
    <w:pPr>
      <w:tabs>
        <w:tab w:val="left" w:pos="3600"/>
        <w:tab w:val="left" w:pos="3958"/>
      </w:tabs>
    </w:pPr>
  </w:style>
  <w:style w:type="paragraph" w:customStyle="1" w:styleId="Note">
    <w:name w:val="Note"/>
    <w:basedOn w:val="BodyText"/>
    <w:rsid w:val="000A1B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1B16"/>
    <w:pPr>
      <w:framePr w:wrap="auto" w:hAnchor="text" w:y="6049"/>
    </w:pPr>
    <w:rPr>
      <w:color w:val="000000"/>
      <w:sz w:val="40"/>
    </w:rPr>
  </w:style>
  <w:style w:type="paragraph" w:customStyle="1" w:styleId="TOCTitle">
    <w:name w:val="TOCTitle"/>
    <w:basedOn w:val="Heading1"/>
    <w:rsid w:val="000A1B16"/>
    <w:pPr>
      <w:spacing w:after="240"/>
      <w:jc w:val="center"/>
      <w:outlineLvl w:val="9"/>
    </w:pPr>
    <w:rPr>
      <w:caps/>
    </w:rPr>
  </w:style>
  <w:style w:type="paragraph" w:customStyle="1" w:styleId="Version">
    <w:name w:val="Version"/>
    <w:rsid w:val="000A1B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1B16"/>
    <w:pPr>
      <w:keepNext w:val="0"/>
      <w:tabs>
        <w:tab w:val="right" w:pos="4176"/>
      </w:tabs>
      <w:ind w:left="198" w:hanging="198"/>
    </w:pPr>
    <w:rPr>
      <w:rFonts w:ascii="Garamond" w:hAnsi="Garamond"/>
    </w:rPr>
  </w:style>
  <w:style w:type="paragraph" w:styleId="IndexHeading">
    <w:name w:val="index heading"/>
    <w:basedOn w:val="Normal"/>
    <w:next w:val="Index1"/>
    <w:semiHidden/>
    <w:rsid w:val="000A1B16"/>
    <w:pPr>
      <w:spacing w:before="120" w:after="120"/>
    </w:pPr>
    <w:rPr>
      <w:rFonts w:ascii="Arial" w:hAnsi="Arial"/>
      <w:b/>
      <w:color w:val="918585"/>
      <w:sz w:val="24"/>
    </w:rPr>
  </w:style>
  <w:style w:type="paragraph" w:styleId="Header">
    <w:name w:val="header"/>
    <w:basedOn w:val="Normal"/>
    <w:link w:val="HeaderChar"/>
    <w:rsid w:val="000A1B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1B16"/>
    <w:rPr>
      <w:rFonts w:ascii="Times New Roman" w:eastAsia="Times New Roman" w:hAnsi="Times New Roman" w:cs="Times New Roman"/>
      <w:sz w:val="16"/>
      <w:szCs w:val="20"/>
      <w:lang w:val="en-GB" w:eastAsia="en-US"/>
    </w:rPr>
  </w:style>
  <w:style w:type="paragraph" w:customStyle="1" w:styleId="Chapter">
    <w:name w:val="Chapter"/>
    <w:basedOn w:val="Normal"/>
    <w:rsid w:val="000A1B16"/>
    <w:pPr>
      <w:spacing w:before="240"/>
    </w:pPr>
    <w:rPr>
      <w:rFonts w:ascii="Times New Roman" w:hAnsi="Times New Roman"/>
      <w:smallCaps/>
      <w:spacing w:val="80"/>
      <w:sz w:val="28"/>
    </w:rPr>
  </w:style>
  <w:style w:type="paragraph" w:customStyle="1" w:styleId="InChapter">
    <w:name w:val="InChapter"/>
    <w:basedOn w:val="Heading3"/>
    <w:rsid w:val="000A1B16"/>
    <w:pPr>
      <w:spacing w:after="240"/>
      <w:outlineLvl w:val="9"/>
    </w:pPr>
    <w:rPr>
      <w:noProof/>
    </w:rPr>
  </w:style>
  <w:style w:type="paragraph" w:styleId="Index2">
    <w:name w:val="index 2"/>
    <w:basedOn w:val="Normal"/>
    <w:next w:val="Normal"/>
    <w:semiHidden/>
    <w:rsid w:val="000A1B16"/>
    <w:pPr>
      <w:tabs>
        <w:tab w:val="right" w:pos="4176"/>
      </w:tabs>
      <w:ind w:left="568" w:hanging="284"/>
    </w:pPr>
    <w:rPr>
      <w:rFonts w:ascii="Garamond" w:hAnsi="Garamond"/>
    </w:rPr>
  </w:style>
  <w:style w:type="paragraph" w:customStyle="1" w:styleId="Byline">
    <w:name w:val="Byline"/>
    <w:rsid w:val="000A1B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1B16"/>
    <w:pPr>
      <w:tabs>
        <w:tab w:val="clear" w:pos="3600"/>
        <w:tab w:val="clear" w:pos="3958"/>
      </w:tabs>
      <w:jc w:val="right"/>
    </w:pPr>
  </w:style>
  <w:style w:type="character" w:styleId="Emphasis">
    <w:name w:val="Emphasis"/>
    <w:basedOn w:val="DefaultParagraphFont"/>
    <w:qFormat/>
    <w:rsid w:val="000A1B16"/>
    <w:rPr>
      <w:i/>
    </w:rPr>
  </w:style>
  <w:style w:type="paragraph" w:styleId="Caption">
    <w:name w:val="caption"/>
    <w:basedOn w:val="BodyText"/>
    <w:next w:val="Normal"/>
    <w:qFormat/>
    <w:rsid w:val="000A1B16"/>
    <w:pPr>
      <w:framePr w:w="2268" w:hSpace="181" w:vSpace="181" w:wrap="around" w:vAnchor="text" w:hAnchor="page" w:x="1135" w:y="285" w:anchorLock="1"/>
    </w:pPr>
    <w:rPr>
      <w:i/>
    </w:rPr>
  </w:style>
  <w:style w:type="paragraph" w:customStyle="1" w:styleId="MiniTOCTitle">
    <w:name w:val="MiniTOCTitle"/>
    <w:basedOn w:val="Heading4"/>
    <w:rsid w:val="000A1B16"/>
    <w:pPr>
      <w:spacing w:before="240"/>
      <w:outlineLvl w:val="9"/>
    </w:pPr>
    <w:rPr>
      <w:noProof/>
      <w:sz w:val="24"/>
    </w:rPr>
  </w:style>
  <w:style w:type="paragraph" w:customStyle="1" w:styleId="MiniTOCItem">
    <w:name w:val="MiniTOCItem"/>
    <w:basedOn w:val="ListBullet"/>
    <w:rsid w:val="000A1B16"/>
    <w:pPr>
      <w:numPr>
        <w:numId w:val="0"/>
      </w:numPr>
      <w:tabs>
        <w:tab w:val="right" w:leader="dot" w:pos="6521"/>
      </w:tabs>
      <w:spacing w:before="0" w:after="0"/>
    </w:pPr>
  </w:style>
  <w:style w:type="paragraph" w:customStyle="1" w:styleId="TOFTitle">
    <w:name w:val="TOFTitle"/>
    <w:basedOn w:val="TOCTitle"/>
    <w:rsid w:val="000A1B16"/>
  </w:style>
  <w:style w:type="paragraph" w:styleId="TableofFigures">
    <w:name w:val="table of figures"/>
    <w:basedOn w:val="Normal"/>
    <w:next w:val="Normal"/>
    <w:semiHidden/>
    <w:rsid w:val="000A1B16"/>
    <w:pPr>
      <w:tabs>
        <w:tab w:val="right" w:leader="dot" w:pos="9072"/>
      </w:tabs>
      <w:ind w:left="970" w:hanging="403"/>
    </w:pPr>
    <w:rPr>
      <w:rFonts w:ascii="Times New Roman" w:hAnsi="Times New Roman"/>
      <w:b/>
    </w:rPr>
  </w:style>
  <w:style w:type="paragraph" w:styleId="ListNumber">
    <w:name w:val="List Number"/>
    <w:basedOn w:val="List"/>
    <w:rsid w:val="000A1B16"/>
    <w:pPr>
      <w:numPr>
        <w:numId w:val="11"/>
      </w:numPr>
    </w:pPr>
  </w:style>
  <w:style w:type="character" w:customStyle="1" w:styleId="WingdingSymbols">
    <w:name w:val="Wingding Symbols"/>
    <w:rsid w:val="000A1B16"/>
    <w:rPr>
      <w:rFonts w:ascii="Wingdings" w:hAnsi="Wingdings"/>
    </w:rPr>
  </w:style>
  <w:style w:type="paragraph" w:customStyle="1" w:styleId="TableHeading">
    <w:name w:val="Table Heading"/>
    <w:basedOn w:val="HeadingBase"/>
    <w:rsid w:val="000A1B16"/>
    <w:pPr>
      <w:keepLines/>
      <w:pBdr>
        <w:bottom w:val="single" w:sz="6" w:space="1" w:color="918585"/>
      </w:pBdr>
      <w:spacing w:before="240"/>
    </w:pPr>
  </w:style>
  <w:style w:type="character" w:customStyle="1" w:styleId="HotSpot">
    <w:name w:val="HotSpot"/>
    <w:rsid w:val="000A1B16"/>
    <w:rPr>
      <w:color w:val="0033CC"/>
      <w:u w:val="none"/>
    </w:rPr>
  </w:style>
  <w:style w:type="paragraph" w:customStyle="1" w:styleId="BodyTextRight">
    <w:name w:val="Body Text Right"/>
    <w:basedOn w:val="BodyText"/>
    <w:rsid w:val="000A1B16"/>
    <w:pPr>
      <w:spacing w:before="0" w:after="0"/>
      <w:jc w:val="right"/>
    </w:pPr>
  </w:style>
  <w:style w:type="paragraph" w:styleId="Index3">
    <w:name w:val="index 3"/>
    <w:basedOn w:val="ListNumber2"/>
    <w:next w:val="Normal"/>
    <w:semiHidden/>
    <w:rsid w:val="000A1B16"/>
    <w:pPr>
      <w:numPr>
        <w:numId w:val="0"/>
      </w:numPr>
      <w:tabs>
        <w:tab w:val="right" w:leader="dot" w:pos="4176"/>
      </w:tabs>
    </w:pPr>
  </w:style>
  <w:style w:type="paragraph" w:styleId="ListNumber2">
    <w:name w:val="List Number 2"/>
    <w:basedOn w:val="List2"/>
    <w:rsid w:val="000A1B16"/>
    <w:pPr>
      <w:numPr>
        <w:numId w:val="10"/>
      </w:numPr>
      <w:tabs>
        <w:tab w:val="clear" w:pos="1060"/>
      </w:tabs>
    </w:pPr>
  </w:style>
  <w:style w:type="paragraph" w:customStyle="1" w:styleId="MarginNote">
    <w:name w:val="Margin Note"/>
    <w:basedOn w:val="BodyText"/>
    <w:rsid w:val="000A1B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1B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1B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1B16"/>
    <w:rPr>
      <w:sz w:val="32"/>
    </w:rPr>
  </w:style>
  <w:style w:type="paragraph" w:customStyle="1" w:styleId="HeadingProcedure">
    <w:name w:val="Heading Procedure"/>
    <w:basedOn w:val="HeadingBase"/>
    <w:next w:val="Normal"/>
    <w:rsid w:val="000A1B16"/>
    <w:pPr>
      <w:tabs>
        <w:tab w:val="left" w:pos="0"/>
      </w:tabs>
      <w:spacing w:before="120" w:after="60"/>
    </w:pPr>
    <w:rPr>
      <w:i/>
      <w:color w:val="918585"/>
      <w:sz w:val="22"/>
    </w:rPr>
  </w:style>
  <w:style w:type="paragraph" w:customStyle="1" w:styleId="TableBodyText">
    <w:name w:val="Table Body Text"/>
    <w:basedOn w:val="BodyText"/>
    <w:rsid w:val="000A1B16"/>
    <w:pPr>
      <w:spacing w:before="60" w:after="60"/>
    </w:pPr>
  </w:style>
  <w:style w:type="paragraph" w:styleId="ListContinue">
    <w:name w:val="List Continue"/>
    <w:basedOn w:val="List"/>
    <w:rsid w:val="000A1B16"/>
    <w:pPr>
      <w:ind w:firstLine="0"/>
    </w:pPr>
  </w:style>
  <w:style w:type="paragraph" w:customStyle="1" w:styleId="ListNote">
    <w:name w:val="List Note"/>
    <w:basedOn w:val="List"/>
    <w:rsid w:val="000A1B16"/>
    <w:pPr>
      <w:pBdr>
        <w:top w:val="single" w:sz="6" w:space="2" w:color="918585"/>
        <w:bottom w:val="single" w:sz="6" w:space="2" w:color="918585"/>
      </w:pBdr>
      <w:tabs>
        <w:tab w:val="left" w:pos="1021"/>
      </w:tabs>
      <w:ind w:firstLine="0"/>
    </w:pPr>
  </w:style>
  <w:style w:type="paragraph" w:customStyle="1" w:styleId="Warning">
    <w:name w:val="Warning"/>
    <w:basedOn w:val="BodyText"/>
    <w:rsid w:val="000A1B16"/>
    <w:pPr>
      <w:shd w:val="clear" w:color="auto" w:fill="D9D9D9"/>
      <w:tabs>
        <w:tab w:val="left" w:pos="992"/>
      </w:tabs>
      <w:ind w:left="119" w:right="119"/>
    </w:pPr>
    <w:rPr>
      <w:sz w:val="20"/>
    </w:rPr>
  </w:style>
  <w:style w:type="paragraph" w:customStyle="1" w:styleId="MarginIcons">
    <w:name w:val="Margin Icons"/>
    <w:basedOn w:val="BodyText"/>
    <w:rsid w:val="000A1B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1B16"/>
    <w:rPr>
      <w:rFonts w:ascii="Courier New" w:hAnsi="Courier New"/>
    </w:rPr>
  </w:style>
  <w:style w:type="paragraph" w:customStyle="1" w:styleId="NoteBullet">
    <w:name w:val="Note Bullet"/>
    <w:basedOn w:val="Note"/>
    <w:rsid w:val="000A1B16"/>
    <w:pPr>
      <w:tabs>
        <w:tab w:val="clear" w:pos="680"/>
      </w:tabs>
      <w:spacing w:before="60" w:after="60"/>
    </w:pPr>
  </w:style>
  <w:style w:type="paragraph" w:customStyle="1" w:styleId="SubHeading2">
    <w:name w:val="SubHeading2"/>
    <w:basedOn w:val="HeadingBase"/>
    <w:rsid w:val="000A1B16"/>
    <w:pPr>
      <w:spacing w:before="240" w:after="60"/>
    </w:pPr>
    <w:rPr>
      <w:sz w:val="20"/>
    </w:rPr>
  </w:style>
  <w:style w:type="paragraph" w:customStyle="1" w:styleId="SubHeading1">
    <w:name w:val="SubHeading1"/>
    <w:basedOn w:val="HeadingBase"/>
    <w:rsid w:val="000A1B16"/>
    <w:pPr>
      <w:spacing w:before="240" w:after="60"/>
    </w:pPr>
    <w:rPr>
      <w:color w:val="918585"/>
      <w:sz w:val="22"/>
    </w:rPr>
  </w:style>
  <w:style w:type="paragraph" w:customStyle="1" w:styleId="SideHeading">
    <w:name w:val="Side Heading"/>
    <w:basedOn w:val="HeadingBase"/>
    <w:rsid w:val="000A1B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1B16"/>
    <w:pPr>
      <w:numPr>
        <w:numId w:val="12"/>
      </w:numPr>
    </w:pPr>
  </w:style>
  <w:style w:type="paragraph" w:styleId="PlainText">
    <w:name w:val="Plain Text"/>
    <w:basedOn w:val="Normal"/>
    <w:link w:val="PlainTextChar"/>
    <w:rsid w:val="000A1B16"/>
    <w:rPr>
      <w:sz w:val="20"/>
    </w:rPr>
  </w:style>
  <w:style w:type="character" w:customStyle="1" w:styleId="PlainTextChar">
    <w:name w:val="Plain Text Char"/>
    <w:basedOn w:val="DefaultParagraphFont"/>
    <w:link w:val="PlainText"/>
    <w:rsid w:val="000A1B16"/>
    <w:rPr>
      <w:rFonts w:ascii="Courier New" w:eastAsia="Times New Roman" w:hAnsi="Courier New" w:cs="Times New Roman"/>
      <w:sz w:val="20"/>
      <w:szCs w:val="20"/>
      <w:lang w:eastAsia="en-US"/>
    </w:rPr>
  </w:style>
  <w:style w:type="character" w:customStyle="1" w:styleId="MenuOption">
    <w:name w:val="Menu Option"/>
    <w:basedOn w:val="DefaultParagraphFont"/>
    <w:rsid w:val="000A1B16"/>
    <w:rPr>
      <w:b/>
      <w:smallCaps/>
    </w:rPr>
  </w:style>
  <w:style w:type="paragraph" w:customStyle="1" w:styleId="TableListNumber">
    <w:name w:val="Table List Number"/>
    <w:basedOn w:val="ListNumber"/>
    <w:rsid w:val="000A1B16"/>
    <w:pPr>
      <w:numPr>
        <w:numId w:val="0"/>
      </w:numPr>
    </w:pPr>
  </w:style>
  <w:style w:type="paragraph" w:styleId="TOC4">
    <w:name w:val="toc 4"/>
    <w:basedOn w:val="TOCBase"/>
    <w:next w:val="Normal"/>
    <w:semiHidden/>
    <w:rsid w:val="000A1B16"/>
    <w:pPr>
      <w:tabs>
        <w:tab w:val="right" w:leader="dot" w:pos="9071"/>
      </w:tabs>
      <w:ind w:left="1701"/>
    </w:pPr>
  </w:style>
  <w:style w:type="paragraph" w:customStyle="1" w:styleId="ListAlpha">
    <w:name w:val="List Alpha"/>
    <w:basedOn w:val="List"/>
    <w:rsid w:val="000A1B16"/>
    <w:pPr>
      <w:numPr>
        <w:numId w:val="9"/>
      </w:numPr>
    </w:pPr>
  </w:style>
  <w:style w:type="paragraph" w:customStyle="1" w:styleId="ListAlpha2">
    <w:name w:val="List Alpha 2"/>
    <w:basedOn w:val="List2"/>
    <w:rsid w:val="000A1B16"/>
    <w:pPr>
      <w:numPr>
        <w:numId w:val="8"/>
      </w:numPr>
    </w:pPr>
  </w:style>
  <w:style w:type="paragraph" w:styleId="List2">
    <w:name w:val="List 2"/>
    <w:basedOn w:val="BodyText"/>
    <w:rsid w:val="000A1B16"/>
    <w:pPr>
      <w:tabs>
        <w:tab w:val="left" w:pos="680"/>
      </w:tabs>
      <w:spacing w:before="60" w:after="60"/>
      <w:ind w:left="680" w:hanging="340"/>
    </w:pPr>
  </w:style>
  <w:style w:type="paragraph" w:styleId="List3">
    <w:name w:val="List 3"/>
    <w:basedOn w:val="BodyText"/>
    <w:rsid w:val="000A1B16"/>
    <w:pPr>
      <w:tabs>
        <w:tab w:val="left" w:pos="1021"/>
      </w:tabs>
      <w:spacing w:before="60" w:after="60"/>
      <w:ind w:left="1020" w:hanging="340"/>
    </w:pPr>
  </w:style>
  <w:style w:type="paragraph" w:styleId="List4">
    <w:name w:val="List 4"/>
    <w:basedOn w:val="BodyText"/>
    <w:rsid w:val="000A1B16"/>
    <w:pPr>
      <w:tabs>
        <w:tab w:val="left" w:pos="1361"/>
      </w:tabs>
      <w:spacing w:before="60" w:after="60"/>
      <w:ind w:left="1361" w:hanging="340"/>
    </w:pPr>
  </w:style>
  <w:style w:type="paragraph" w:styleId="List5">
    <w:name w:val="List 5"/>
    <w:basedOn w:val="BodyText"/>
    <w:rsid w:val="000A1B16"/>
    <w:pPr>
      <w:tabs>
        <w:tab w:val="left" w:pos="1701"/>
      </w:tabs>
      <w:spacing w:before="60" w:after="60"/>
      <w:ind w:left="1701" w:hanging="340"/>
    </w:pPr>
  </w:style>
  <w:style w:type="paragraph" w:styleId="ListBullet3">
    <w:name w:val="List Bullet 3"/>
    <w:basedOn w:val="List3"/>
    <w:rsid w:val="000A1B16"/>
    <w:pPr>
      <w:numPr>
        <w:numId w:val="15"/>
      </w:numPr>
      <w:tabs>
        <w:tab w:val="clear" w:pos="1021"/>
      </w:tabs>
      <w:ind w:left="1037" w:hanging="357"/>
    </w:pPr>
  </w:style>
  <w:style w:type="paragraph" w:styleId="ListBullet4">
    <w:name w:val="List Bullet 4"/>
    <w:basedOn w:val="List4"/>
    <w:rsid w:val="000A1B16"/>
    <w:pPr>
      <w:numPr>
        <w:numId w:val="3"/>
      </w:numPr>
    </w:pPr>
  </w:style>
  <w:style w:type="paragraph" w:styleId="ListBullet5">
    <w:name w:val="List Bullet 5"/>
    <w:basedOn w:val="List5"/>
    <w:rsid w:val="000A1B16"/>
    <w:pPr>
      <w:numPr>
        <w:numId w:val="4"/>
      </w:numPr>
    </w:pPr>
  </w:style>
  <w:style w:type="paragraph" w:styleId="ListContinue2">
    <w:name w:val="List Continue 2"/>
    <w:basedOn w:val="List2"/>
    <w:rsid w:val="000A1B16"/>
    <w:pPr>
      <w:ind w:firstLine="0"/>
    </w:pPr>
  </w:style>
  <w:style w:type="paragraph" w:styleId="ListContinue3">
    <w:name w:val="List Continue 3"/>
    <w:basedOn w:val="List3"/>
    <w:rsid w:val="000A1B16"/>
    <w:pPr>
      <w:ind w:left="1021" w:firstLine="0"/>
    </w:pPr>
  </w:style>
  <w:style w:type="paragraph" w:styleId="ListContinue4">
    <w:name w:val="List Continue 4"/>
    <w:basedOn w:val="List4"/>
    <w:rsid w:val="000A1B16"/>
    <w:pPr>
      <w:ind w:firstLine="0"/>
    </w:pPr>
  </w:style>
  <w:style w:type="paragraph" w:styleId="ListContinue5">
    <w:name w:val="List Continue 5"/>
    <w:basedOn w:val="List5"/>
    <w:rsid w:val="000A1B16"/>
    <w:pPr>
      <w:ind w:firstLine="0"/>
    </w:pPr>
  </w:style>
  <w:style w:type="paragraph" w:styleId="ListNumber3">
    <w:name w:val="List Number 3"/>
    <w:basedOn w:val="List3"/>
    <w:rsid w:val="000A1B16"/>
    <w:pPr>
      <w:numPr>
        <w:numId w:val="5"/>
      </w:numPr>
    </w:pPr>
  </w:style>
  <w:style w:type="paragraph" w:styleId="ListNumber4">
    <w:name w:val="List Number 4"/>
    <w:basedOn w:val="List4"/>
    <w:rsid w:val="000A1B16"/>
    <w:pPr>
      <w:numPr>
        <w:numId w:val="6"/>
      </w:numPr>
    </w:pPr>
  </w:style>
  <w:style w:type="paragraph" w:styleId="ListNumber5">
    <w:name w:val="List Number 5"/>
    <w:basedOn w:val="List5"/>
    <w:rsid w:val="000A1B16"/>
    <w:pPr>
      <w:numPr>
        <w:numId w:val="7"/>
      </w:numPr>
    </w:pPr>
  </w:style>
  <w:style w:type="paragraph" w:styleId="BlockText">
    <w:name w:val="Block Text"/>
    <w:basedOn w:val="Normal"/>
    <w:rsid w:val="000A1B16"/>
    <w:pPr>
      <w:spacing w:after="120"/>
      <w:ind w:left="1440" w:right="1440"/>
    </w:pPr>
  </w:style>
  <w:style w:type="character" w:customStyle="1" w:styleId="Subscript">
    <w:name w:val="Subscript"/>
    <w:basedOn w:val="DefaultParagraphFont"/>
    <w:rsid w:val="000A1B16"/>
    <w:rPr>
      <w:sz w:val="16"/>
      <w:vertAlign w:val="subscript"/>
    </w:rPr>
  </w:style>
  <w:style w:type="character" w:customStyle="1" w:styleId="Superscript">
    <w:name w:val="Superscript"/>
    <w:basedOn w:val="DefaultParagraphFont"/>
    <w:rsid w:val="000A1B16"/>
    <w:rPr>
      <w:sz w:val="16"/>
      <w:vertAlign w:val="superscript"/>
    </w:rPr>
  </w:style>
  <w:style w:type="character" w:customStyle="1" w:styleId="Symbols">
    <w:name w:val="Symbols"/>
    <w:basedOn w:val="DefaultParagraphFont"/>
    <w:rsid w:val="000A1B16"/>
    <w:rPr>
      <w:rFonts w:ascii="Symbol" w:hAnsi="Symbol"/>
    </w:rPr>
  </w:style>
  <w:style w:type="character" w:customStyle="1" w:styleId="MenuOptions">
    <w:name w:val="Menu Options"/>
    <w:basedOn w:val="DefaultParagraphFont"/>
    <w:rsid w:val="000A1B16"/>
    <w:rPr>
      <w:rFonts w:ascii="Arial Narrow" w:hAnsi="Arial Narrow"/>
      <w:smallCaps/>
    </w:rPr>
  </w:style>
  <w:style w:type="character" w:customStyle="1" w:styleId="Buttons">
    <w:name w:val="Buttons"/>
    <w:basedOn w:val="DefaultParagraphFont"/>
    <w:rsid w:val="000A1B16"/>
    <w:rPr>
      <w:b/>
    </w:rPr>
  </w:style>
  <w:style w:type="character" w:customStyle="1" w:styleId="Underlined">
    <w:name w:val="Underlined"/>
    <w:basedOn w:val="DefaultParagraphFont"/>
    <w:rsid w:val="000A1B16"/>
    <w:rPr>
      <w:u w:val="single"/>
    </w:rPr>
  </w:style>
  <w:style w:type="paragraph" w:customStyle="1" w:styleId="TableBodyTextRight">
    <w:name w:val="Table Body Text Right"/>
    <w:basedOn w:val="TableBodyText"/>
    <w:rsid w:val="000A1B16"/>
    <w:pPr>
      <w:widowControl w:val="0"/>
      <w:autoSpaceDE w:val="0"/>
      <w:autoSpaceDN w:val="0"/>
      <w:adjustRightInd w:val="0"/>
      <w:jc w:val="right"/>
    </w:pPr>
    <w:rPr>
      <w:rFonts w:cs="Arial"/>
      <w:szCs w:val="18"/>
    </w:rPr>
  </w:style>
  <w:style w:type="paragraph" w:customStyle="1" w:styleId="CopyrightText">
    <w:name w:val="Copyright Text"/>
    <w:basedOn w:val="BodyText"/>
    <w:rsid w:val="000A1B16"/>
    <w:rPr>
      <w:sz w:val="18"/>
    </w:rPr>
  </w:style>
  <w:style w:type="paragraph" w:customStyle="1" w:styleId="BodySmallRight">
    <w:name w:val="Body Small Right"/>
    <w:basedOn w:val="BodyTextRight"/>
    <w:rsid w:val="000A1B16"/>
    <w:rPr>
      <w:sz w:val="18"/>
      <w:szCs w:val="18"/>
    </w:rPr>
  </w:style>
  <w:style w:type="paragraph" w:customStyle="1" w:styleId="MarginEdition">
    <w:name w:val="Margin Edition"/>
    <w:basedOn w:val="MarginNote"/>
    <w:rsid w:val="000A1B16"/>
    <w:pPr>
      <w:spacing w:before="0" w:after="0"/>
    </w:pPr>
    <w:rPr>
      <w:rFonts w:ascii="Times New Roman" w:hAnsi="Times New Roman"/>
      <w:color w:val="999999"/>
    </w:rPr>
  </w:style>
  <w:style w:type="paragraph" w:customStyle="1" w:styleId="Spacer">
    <w:name w:val="Spacer"/>
    <w:basedOn w:val="Normal"/>
    <w:rsid w:val="000A1B16"/>
    <w:rPr>
      <w:sz w:val="2"/>
      <w:szCs w:val="2"/>
    </w:rPr>
  </w:style>
  <w:style w:type="character" w:customStyle="1" w:styleId="Small">
    <w:name w:val="Small"/>
    <w:basedOn w:val="DefaultParagraphFont"/>
    <w:rsid w:val="000A1B16"/>
    <w:rPr>
      <w:sz w:val="16"/>
    </w:rPr>
  </w:style>
  <w:style w:type="paragraph" w:customStyle="1" w:styleId="WideTable">
    <w:name w:val="Wide Table"/>
    <w:basedOn w:val="Normal"/>
    <w:rsid w:val="000A1B16"/>
    <w:pPr>
      <w:ind w:left="-1418"/>
    </w:pPr>
    <w:rPr>
      <w:sz w:val="2"/>
      <w:szCs w:val="2"/>
    </w:rPr>
  </w:style>
  <w:style w:type="character" w:styleId="PageNumber">
    <w:name w:val="page number"/>
    <w:basedOn w:val="DefaultParagraphFont"/>
    <w:rsid w:val="000A1B16"/>
  </w:style>
  <w:style w:type="paragraph" w:styleId="Quote">
    <w:name w:val="Quote"/>
    <w:basedOn w:val="Heading1"/>
    <w:link w:val="QuoteChar"/>
    <w:qFormat/>
    <w:rsid w:val="000A1B16"/>
    <w:rPr>
      <w:b w:val="0"/>
      <w:sz w:val="72"/>
      <w:szCs w:val="72"/>
      <w:lang w:val="en-NZ"/>
    </w:rPr>
  </w:style>
  <w:style w:type="character" w:customStyle="1" w:styleId="QuoteChar">
    <w:name w:val="Quote Char"/>
    <w:basedOn w:val="DefaultParagraphFont"/>
    <w:link w:val="Quote"/>
    <w:rsid w:val="000A1B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1B16"/>
    <w:pPr>
      <w:pageBreakBefore/>
    </w:pPr>
  </w:style>
  <w:style w:type="paragraph" w:customStyle="1" w:styleId="Border">
    <w:name w:val="Border"/>
    <w:basedOn w:val="Normal"/>
    <w:qFormat/>
    <w:rsid w:val="000A1B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1B16"/>
    <w:rPr>
      <w:b/>
      <w:bCs/>
      <w:i/>
      <w:iCs/>
      <w:color w:val="auto"/>
    </w:rPr>
  </w:style>
  <w:style w:type="paragraph" w:styleId="IntenseQuote">
    <w:name w:val="Intense Quote"/>
    <w:basedOn w:val="Normal"/>
    <w:next w:val="Normal"/>
    <w:link w:val="IntenseQuoteChar"/>
    <w:uiPriority w:val="30"/>
    <w:qFormat/>
    <w:rsid w:val="000A1B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1B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1B16"/>
    <w:rPr>
      <w:smallCaps/>
      <w:color w:val="auto"/>
      <w:u w:val="single"/>
    </w:rPr>
  </w:style>
  <w:style w:type="character" w:styleId="IntenseReference">
    <w:name w:val="Intense Reference"/>
    <w:basedOn w:val="DefaultParagraphFont"/>
    <w:uiPriority w:val="32"/>
    <w:qFormat/>
    <w:rsid w:val="000A1B16"/>
    <w:rPr>
      <w:b/>
      <w:bCs/>
      <w:smallCaps/>
      <w:color w:val="auto"/>
      <w:spacing w:val="5"/>
      <w:u w:val="single"/>
    </w:rPr>
  </w:style>
  <w:style w:type="paragraph" w:customStyle="1" w:styleId="2ColumnHeading">
    <w:name w:val="2Column Heading"/>
    <w:basedOn w:val="BodyText"/>
    <w:qFormat/>
    <w:rsid w:val="000A1B16"/>
    <w:pPr>
      <w:spacing w:after="60"/>
      <w:ind w:left="-2268"/>
    </w:pPr>
    <w:rPr>
      <w:b/>
    </w:rPr>
  </w:style>
  <w:style w:type="paragraph" w:customStyle="1" w:styleId="Heading1TOC">
    <w:name w:val="Heading1 TOC"/>
    <w:basedOn w:val="Normal"/>
    <w:qFormat/>
    <w:rsid w:val="000A1B16"/>
    <w:pPr>
      <w:spacing w:before="240" w:after="120"/>
    </w:pPr>
    <w:rPr>
      <w:rFonts w:ascii="Times New Roman" w:hAnsi="Times New Roman"/>
      <w:b/>
      <w:sz w:val="32"/>
    </w:rPr>
  </w:style>
  <w:style w:type="paragraph" w:customStyle="1" w:styleId="Heading2TOC">
    <w:name w:val="Heading2 TOC"/>
    <w:basedOn w:val="Normal"/>
    <w:qFormat/>
    <w:rsid w:val="000A1B16"/>
    <w:pPr>
      <w:spacing w:before="240" w:after="60"/>
    </w:pPr>
    <w:rPr>
      <w:rFonts w:ascii="Times New Roman" w:hAnsi="Times New Roman"/>
      <w:b/>
      <w:sz w:val="28"/>
    </w:rPr>
  </w:style>
  <w:style w:type="character" w:customStyle="1" w:styleId="Underline">
    <w:name w:val="Underline"/>
    <w:basedOn w:val="DefaultParagraphFont"/>
    <w:qFormat/>
    <w:rsid w:val="000A1B16"/>
    <w:rPr>
      <w:u w:val="single"/>
    </w:rPr>
  </w:style>
  <w:style w:type="paragraph" w:styleId="BalloonText">
    <w:name w:val="Balloon Text"/>
    <w:basedOn w:val="Normal"/>
    <w:link w:val="BalloonTextChar"/>
    <w:rsid w:val="000A1B16"/>
    <w:rPr>
      <w:rFonts w:ascii="Tahoma" w:hAnsi="Tahoma" w:cs="Tahoma"/>
      <w:sz w:val="16"/>
      <w:szCs w:val="16"/>
    </w:rPr>
  </w:style>
  <w:style w:type="character" w:customStyle="1" w:styleId="BalloonTextChar">
    <w:name w:val="Balloon Text Char"/>
    <w:basedOn w:val="DefaultParagraphFont"/>
    <w:link w:val="BalloonText"/>
    <w:rsid w:val="000A1B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1B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1B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1B16"/>
    <w:rPr>
      <w:b/>
      <w:color w:val="660033"/>
      <w:spacing w:val="0"/>
    </w:rPr>
  </w:style>
  <w:style w:type="paragraph" w:customStyle="1" w:styleId="Nameditemlist">
    <w:name w:val="Named item list"/>
    <w:basedOn w:val="BodyText"/>
    <w:qFormat/>
    <w:rsid w:val="000A1B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1273</Words>
  <Characters>8517</Characters>
  <Application>Microsoft Office Word</Application>
  <DocSecurity>0</DocSecurity>
  <Lines>285</Lines>
  <Paragraphs>185</Paragraphs>
  <ScaleCrop>false</ScaleCrop>
  <Company>Author-it Software Corporation Ltd.</Company>
  <LinksUpToDate>false</LinksUpToDate>
  <CharactersWithSpaces>9709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SIRXCCS509 Manage business customers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2012-06-14T07:12:00Z</dcterms:created>
  <dcterms:modified xsi:type="dcterms:W3CDTF">2012-06-14T07:12:00Z</dcterms:modified>
</cp:coreProperties>
</file>