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B1D" w:rsidP="00945B1D">
      <w:pPr>
        <w:pStyle w:val="Title"/>
      </w:pPr>
      <w:bookmarkStart w:id="0" w:name="_GoBack"/>
      <w:bookmarkEnd w:id="0"/>
      <w:r>
        <w:fldChar w:fldCharType="begin"/>
      </w:r>
      <w:r>
        <w:instrText xml:space="preserve"> TITLE   \* MERGEFORMAT </w:instrText>
      </w:r>
      <w:r>
        <w:fldChar w:fldCharType="separate"/>
      </w:r>
      <w:r>
        <w:t>SIRXCCS201 Apply point-of-sale handling procedures</w:t>
      </w:r>
      <w:r>
        <w:fldChar w:fldCharType="end"/>
      </w:r>
    </w:p>
    <w:p w:rsidR="00945B1D" w:rsidP="00945B1D">
      <w:pPr>
        <w:pStyle w:val="Version"/>
        <w:sectPr w:rsidSect="00CD7E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E15" w:rsidP="00CD7E15">
      <w:pPr>
        <w:pStyle w:val="SuperHeading"/>
      </w:pPr>
      <w:r w:rsidRPr="00CD7E15">
        <w:t>SIRXCCS201 Apply point-of-sale handling procedures</w:t>
      </w:r>
    </w:p>
    <w:p w:rsidR="00000000" w:rsidRPr="00CD7E15" w:rsidP="00CD7E15">
      <w:pPr>
        <w:pStyle w:val="Heading1"/>
      </w:pPr>
      <w:bookmarkStart w:id="1" w:name="O_393739"/>
      <w:bookmarkEnd w:id="1"/>
      <w:r w:rsidRPr="00CD7E15">
        <w:t>Modification History</w:t>
      </w:r>
    </w:p>
    <w:p w:rsidR="00000000" w:rsidRPr="00CD7E15" w:rsidP="00CD7E15">
      <w:pPr>
        <w:pStyle w:val="BodyText"/>
      </w:pPr>
      <w:r w:rsidRPr="00CD7E15">
        <w:t>The version details of this endorsed unit are in the table below. The latest i</w:t>
      </w:r>
      <w:r w:rsidRPr="00CD7E15">
        <w:t>nformation is at the top.</w:t>
      </w:r>
    </w:p>
    <w:tbl>
      <w:tblPr>
        <w:tblW w:w="0" w:type="auto"/>
        <w:tblCellMar>
          <w:left w:w="62" w:type="dxa"/>
          <w:right w:w="62" w:type="dxa"/>
        </w:tblCellMar>
        <w:tblLook w:val="0000"/>
      </w:tblPr>
      <w:tblGrid>
        <w:gridCol w:w="4609"/>
        <w:gridCol w:w="4587"/>
      </w:tblGrid>
      <w:tr w:rsidTr="00945B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15" w:rsidP="00CD7E15">
            <w:pPr>
              <w:pStyle w:val="BodyText"/>
            </w:pPr>
            <w:r w:rsidRPr="00CD7E15">
              <w:rPr>
                <w:rStyle w:val="SpecialBold"/>
              </w:rPr>
              <w:t>Release Date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15">
            <w:pPr>
              <w:pStyle w:val="BodyText"/>
              <w:rPr>
                <w:lang w:val="en-NZ"/>
              </w:rPr>
            </w:pPr>
            <w:r w:rsidRPr="00CD7E15">
              <w:rPr>
                <w:rStyle w:val="SpecialBold"/>
              </w:rPr>
              <w:t>Comments</w:t>
            </w:r>
          </w:p>
        </w:tc>
      </w:tr>
      <w:tr w:rsidTr="00945B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15">
            <w:pPr>
              <w:pStyle w:val="BodyText"/>
              <w:rPr>
                <w:lang w:val="en-NZ"/>
              </w:rPr>
            </w:pPr>
            <w:r w:rsidRPr="00CD7E15">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15" w:rsidP="00CD7E15">
            <w:pPr>
              <w:pStyle w:val="BodyText"/>
            </w:pPr>
            <w:r w:rsidRPr="00CD7E15">
              <w:t>This is a revised unit, based on and equivalent to SIRXCCS001A Apply point-of-sale handling procedures.</w:t>
            </w:r>
          </w:p>
        </w:tc>
      </w:tr>
    </w:tbl>
    <w:p w:rsidR="00000000" w:rsidRPr="00CD7E15" w:rsidP="00CD7E15">
      <w:pPr>
        <w:pStyle w:val="BodyText"/>
      </w:pPr>
    </w:p>
    <w:p w:rsidR="00000000" w:rsidRPr="00CD7E15" w:rsidP="00CD7E15">
      <w:pPr>
        <w:pStyle w:val="AllowPageBreak"/>
      </w:pPr>
    </w:p>
    <w:p w:rsidR="00000000" w:rsidRPr="00CD7E15" w:rsidP="00CD7E15">
      <w:pPr>
        <w:pStyle w:val="Heading1"/>
      </w:pPr>
      <w:bookmarkStart w:id="2" w:name="O_393740"/>
      <w:bookmarkEnd w:id="2"/>
      <w:r w:rsidRPr="00CD7E15">
        <w:t>Unit Descriptor</w:t>
      </w:r>
    </w:p>
    <w:p w:rsidR="00000000" w:rsidRPr="00CD7E15" w:rsidP="00CD7E15">
      <w:pPr>
        <w:pStyle w:val="BodyText"/>
      </w:pPr>
      <w:r w:rsidRPr="00CD7E15">
        <w:t>This unit describes the performance outcomes, skills and knowledge required to operate point-of-sale equipment, apply store policy and procedures to a range of transactions, interact with customers, and package or wrap an item for transportation.</w:t>
      </w:r>
    </w:p>
    <w:p w:rsidR="00000000" w:rsidRPr="00CD7E15" w:rsidP="00CD7E15">
      <w:pPr>
        <w:pStyle w:val="BodyText"/>
      </w:pPr>
    </w:p>
    <w:p w:rsidR="00945B1D" w:rsidP="00CD7E15">
      <w:pPr>
        <w:pStyle w:val="BodyText"/>
      </w:pPr>
      <w:r w:rsidRPr="00CD7E15">
        <w:t>It cover</w:t>
      </w:r>
      <w:r w:rsidRPr="00CD7E15">
        <w:t>s demonstration of the ability to operate a range of point-of-sale equipment in order to complete sales, returns and exchange transactions, and process a number of methods of payment, according to store policies.</w:t>
      </w:r>
    </w:p>
    <w:p w:rsidR="00945B1D" w:rsidP="00CD7E15">
      <w:pPr>
        <w:pStyle w:val="BodyText"/>
      </w:pPr>
    </w:p>
    <w:p w:rsidR="00000000" w:rsidRPr="00CD7E15" w:rsidP="00CD7E15">
      <w:pPr>
        <w:pStyle w:val="Heading1"/>
      </w:pPr>
      <w:bookmarkStart w:id="3" w:name="O_393741"/>
      <w:bookmarkEnd w:id="3"/>
      <w:r w:rsidRPr="00CD7E15">
        <w:t>Application of the Unit</w:t>
      </w:r>
    </w:p>
    <w:p w:rsidR="00000000" w:rsidRPr="00CD7E15" w:rsidP="00CD7E15">
      <w:pPr>
        <w:pStyle w:val="BodyText"/>
      </w:pPr>
      <w:r w:rsidRPr="00CD7E15">
        <w:t>T</w:t>
      </w:r>
      <w:r w:rsidRPr="00CD7E15">
        <w:t xml:space="preserve">his unit applies to frontline service personnel. </w:t>
      </w:r>
    </w:p>
    <w:p w:rsidR="00000000" w:rsidRPr="00CD7E15" w:rsidP="00CD7E15">
      <w:pPr>
        <w:pStyle w:val="AllowPageBreak"/>
      </w:pPr>
    </w:p>
    <w:p w:rsidR="00000000" w:rsidRPr="00CD7E15" w:rsidP="00CD7E15">
      <w:pPr>
        <w:pStyle w:val="Heading1"/>
      </w:pPr>
      <w:bookmarkStart w:id="4" w:name="O_393742"/>
      <w:bookmarkEnd w:id="4"/>
      <w:r w:rsidRPr="00CD7E15">
        <w:t>Licensing/Regulatory Information</w:t>
      </w:r>
    </w:p>
    <w:p w:rsidR="00000000" w:rsidRPr="00CD7E15" w:rsidP="00CD7E15">
      <w:pPr>
        <w:pStyle w:val="BodyText"/>
      </w:pPr>
      <w:r w:rsidRPr="00CD7E15">
        <w:t>No licensing, legislative, regulatory or certification requirements apply to this unit at the time of endorsement.</w:t>
      </w:r>
    </w:p>
    <w:p w:rsidR="00000000" w:rsidRPr="00CD7E15" w:rsidP="00CD7E15">
      <w:pPr>
        <w:pStyle w:val="AllowPageBreak"/>
      </w:pPr>
    </w:p>
    <w:p w:rsidR="00000000" w:rsidRPr="00CD7E15" w:rsidP="00CD7E15">
      <w:pPr>
        <w:pStyle w:val="Heading1"/>
      </w:pPr>
      <w:bookmarkStart w:id="5" w:name="O_393743"/>
      <w:bookmarkEnd w:id="5"/>
      <w:r w:rsidRPr="00CD7E15">
        <w:t>Pre-Requisites</w:t>
      </w:r>
    </w:p>
    <w:p w:rsidR="00000000" w:rsidRPr="00CD7E15" w:rsidP="00CD7E15">
      <w:pPr>
        <w:pStyle w:val="BodyText"/>
      </w:pPr>
      <w:r w:rsidRPr="00CD7E15">
        <w:t>Nil</w:t>
      </w:r>
    </w:p>
    <w:p w:rsidR="00000000" w:rsidRPr="00CD7E15" w:rsidP="00CD7E15">
      <w:pPr>
        <w:pStyle w:val="AllowPageBreak"/>
      </w:pPr>
    </w:p>
    <w:p w:rsidR="00000000" w:rsidRPr="00CD7E15" w:rsidP="00CD7E15">
      <w:pPr>
        <w:pStyle w:val="Heading1"/>
      </w:pPr>
      <w:bookmarkStart w:id="6" w:name="O_393744"/>
      <w:bookmarkEnd w:id="6"/>
      <w:r w:rsidRPr="00CD7E15">
        <w:t>Employability Skills Information</w:t>
      </w:r>
    </w:p>
    <w:p w:rsidR="00000000" w:rsidRPr="00CD7E15" w:rsidP="00CD7E15">
      <w:pPr>
        <w:pStyle w:val="BodyText"/>
      </w:pPr>
      <w:r w:rsidRPr="00CD7E15">
        <w:t>This unit contains employability skills.</w:t>
      </w:r>
    </w:p>
    <w:p w:rsidR="00000000" w:rsidRPr="00CD7E15" w:rsidP="00CD7E15">
      <w:pPr>
        <w:pStyle w:val="AllowPageBreak"/>
      </w:pPr>
    </w:p>
    <w:p w:rsidR="00000000" w:rsidRPr="00CD7E15" w:rsidP="00CD7E15">
      <w:pPr>
        <w:pStyle w:val="Heading1"/>
      </w:pPr>
      <w:bookmarkStart w:id="7" w:name="O_393745"/>
      <w:bookmarkEnd w:id="7"/>
      <w:r w:rsidRPr="00CD7E15">
        <w:t>Elements and Performance Criteria Pre-Content</w:t>
      </w:r>
    </w:p>
    <w:p w:rsidR="00000000" w:rsidRPr="00CD7E15" w:rsidP="00CD7E15">
      <w:pPr>
        <w:pStyle w:val="Heading1"/>
      </w:pPr>
      <w:bookmarkStart w:id="8" w:name="O_393746"/>
      <w:bookmarkEnd w:id="8"/>
      <w:r w:rsidRPr="00CD7E15">
        <w:t>Elements and Performance Criteria</w:t>
      </w:r>
    </w:p>
    <w:tbl>
      <w:tblPr>
        <w:tblW w:w="0" w:type="auto"/>
        <w:tblLayout w:type="fixed"/>
        <w:tblCellMar>
          <w:left w:w="62" w:type="dxa"/>
          <w:right w:w="62" w:type="dxa"/>
        </w:tblCellMar>
        <w:tblLook w:val="0000"/>
      </w:tblPr>
      <w:tblGrid>
        <w:gridCol w:w="2536"/>
        <w:gridCol w:w="6394"/>
      </w:tblGrid>
      <w:tr w:rsidTr="00CD7E15">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RPr="00CD7E15" w:rsidP="00CD7E15">
            <w:pPr>
              <w:pStyle w:val="BodyText"/>
            </w:pPr>
            <w:r w:rsidRPr="00CD7E15">
              <w:rPr>
                <w:rStyle w:val="SpecialBold"/>
              </w:rPr>
              <w:t>Element</w:t>
            </w:r>
          </w:p>
        </w:tc>
        <w:tc>
          <w:tcPr>
            <w:tcW w:w="6394"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SpecialBold"/>
              </w:rPr>
              <w:t>Performance Criteria</w:t>
            </w:r>
          </w:p>
        </w:tc>
      </w:tr>
      <w:tr w:rsidTr="00CD7E15">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t>Elements describe the essential outcomes of a unit of competency.</w:t>
            </w:r>
          </w:p>
        </w:tc>
        <w:tc>
          <w:tcPr>
            <w:tcW w:w="6394"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t>Performance criteria describe the performance needed to demonstrate achievement of the element. Where bold italicised text is used, further information is detailed in the required skills and</w:t>
            </w:r>
            <w:r w:rsidRPr="00CD7E15">
              <w:t xml:space="preserve"> knowledge section and the range statement. Assessment of performance is to be consistent with the evidence guide.</w:t>
            </w:r>
          </w:p>
        </w:tc>
      </w:tr>
      <w:tr w:rsidTr="00CD7E15">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CD7E15">
            <w:pPr>
              <w:pStyle w:val="List"/>
              <w:rPr>
                <w:lang w:val="en-NZ"/>
              </w:rPr>
            </w:pPr>
            <w:r w:rsidRPr="00CD7E15">
              <w:t>1.</w:t>
            </w:r>
            <w:r w:rsidRPr="00CD7E15">
              <w:tab/>
              <w:t>Operate point-of-sale equipment.</w:t>
            </w:r>
          </w:p>
        </w:tc>
        <w:tc>
          <w:tcPr>
            <w:tcW w:w="6394" w:type="dxa"/>
            <w:tcBorders>
              <w:top w:val="nil"/>
              <w:left w:val="nil"/>
              <w:bottom w:val="nil"/>
              <w:right w:val="nil"/>
            </w:tcBorders>
            <w:tcMar>
              <w:top w:w="0" w:type="dxa"/>
              <w:left w:w="62" w:type="dxa"/>
              <w:bottom w:w="0" w:type="dxa"/>
              <w:right w:w="62" w:type="dxa"/>
            </w:tcMar>
          </w:tcPr>
          <w:p w:rsidR="00000000" w:rsidRPr="00CD7E15" w:rsidP="00CD7E15">
            <w:pPr>
              <w:pStyle w:val="List"/>
            </w:pPr>
            <w:r w:rsidRPr="00CD7E15">
              <w:t xml:space="preserve">1.1.Open and close point-of-sale terminal according to </w:t>
            </w:r>
            <w:r w:rsidRPr="00CD7E15">
              <w:rPr>
                <w:rStyle w:val="BoldandItalics"/>
              </w:rPr>
              <w:t>store policy and procedures</w:t>
            </w:r>
            <w:r w:rsidRPr="00CD7E15">
              <w:t>.</w:t>
            </w:r>
          </w:p>
          <w:p w:rsidR="00000000" w:rsidRPr="00CD7E15" w:rsidP="00CD7E15">
            <w:pPr>
              <w:pStyle w:val="List"/>
            </w:pPr>
            <w:r w:rsidRPr="00CD7E15">
              <w:t>1.2.Clear point-of-s</w:t>
            </w:r>
            <w:r w:rsidRPr="00CD7E15">
              <w:t>ale terminal and transfer tender according to store procedure.</w:t>
            </w:r>
          </w:p>
          <w:p w:rsidR="00000000" w:rsidRPr="00CD7E15" w:rsidP="00CD7E15">
            <w:pPr>
              <w:pStyle w:val="List"/>
            </w:pPr>
            <w:r w:rsidRPr="00CD7E15">
              <w:t>1.3.Handle cash according to store security procedures.</w:t>
            </w:r>
          </w:p>
          <w:p w:rsidR="00000000" w:rsidRPr="00CD7E15" w:rsidP="00CD7E15">
            <w:pPr>
              <w:pStyle w:val="List"/>
            </w:pPr>
            <w:r w:rsidRPr="00CD7E15">
              <w:t>1.4.Maintain supplies of change in point-of-sale terminal according to store policy.</w:t>
            </w:r>
          </w:p>
          <w:p w:rsidR="00000000" w:rsidRPr="00CD7E15" w:rsidP="00CD7E15">
            <w:pPr>
              <w:pStyle w:val="List"/>
            </w:pPr>
            <w:r w:rsidRPr="00CD7E15">
              <w:t xml:space="preserve">1.5.Attend active point-of-sale terminals according </w:t>
            </w:r>
            <w:r w:rsidRPr="00CD7E15">
              <w:t>to store policy.</w:t>
            </w:r>
          </w:p>
          <w:p w:rsidR="00000000" w:rsidRPr="00CD7E15" w:rsidP="00CD7E15">
            <w:pPr>
              <w:pStyle w:val="List"/>
            </w:pPr>
            <w:r w:rsidRPr="00CD7E15">
              <w:t>1.6.Complete records for transaction errors according to store policy.</w:t>
            </w:r>
          </w:p>
          <w:p w:rsidR="00000000" w:rsidRPr="00CD7E15" w:rsidP="00CD7E15">
            <w:pPr>
              <w:pStyle w:val="List"/>
            </w:pPr>
            <w:r w:rsidRPr="00CD7E15">
              <w:t xml:space="preserve">1.7.Maintain adequate supplies of dockets, vouchers and </w:t>
            </w:r>
            <w:r w:rsidRPr="00CD7E15">
              <w:rPr>
                <w:rStyle w:val="BoldandItalics"/>
              </w:rPr>
              <w:t>point-of-sale documents</w:t>
            </w:r>
            <w:r w:rsidRPr="00CD7E15">
              <w:t>.</w:t>
            </w:r>
          </w:p>
          <w:p w:rsidR="00000000" w:rsidP="00CD7E15">
            <w:pPr>
              <w:pStyle w:val="List"/>
              <w:rPr>
                <w:lang w:val="en-NZ"/>
              </w:rPr>
            </w:pPr>
            <w:r w:rsidRPr="00CD7E15">
              <w:t xml:space="preserve">1.8.Inform </w:t>
            </w:r>
            <w:r w:rsidRPr="00CD7E15">
              <w:rPr>
                <w:rStyle w:val="BoldandItalics"/>
              </w:rPr>
              <w:t>customers</w:t>
            </w:r>
            <w:r w:rsidRPr="00CD7E15">
              <w:t xml:space="preserve"> of delays in the point-of-sale operation where required.</w:t>
            </w:r>
          </w:p>
        </w:tc>
      </w:tr>
      <w:tr w:rsidTr="00CD7E15">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CD7E15">
            <w:pPr>
              <w:pStyle w:val="List"/>
              <w:rPr>
                <w:lang w:val="en-NZ"/>
              </w:rPr>
            </w:pPr>
            <w:r w:rsidRPr="00CD7E15">
              <w:t>2.</w:t>
            </w:r>
            <w:r w:rsidRPr="00CD7E15">
              <w:tab/>
              <w:t>Ensur</w:t>
            </w:r>
            <w:r w:rsidRPr="00CD7E15">
              <w:t>e accuracy of transactions.</w:t>
            </w:r>
          </w:p>
        </w:tc>
        <w:tc>
          <w:tcPr>
            <w:tcW w:w="6394" w:type="dxa"/>
            <w:tcBorders>
              <w:top w:val="nil"/>
              <w:left w:val="nil"/>
              <w:bottom w:val="nil"/>
              <w:right w:val="nil"/>
            </w:tcBorders>
            <w:tcMar>
              <w:top w:w="0" w:type="dxa"/>
              <w:left w:w="62" w:type="dxa"/>
              <w:bottom w:w="0" w:type="dxa"/>
              <w:right w:w="62" w:type="dxa"/>
            </w:tcMar>
          </w:tcPr>
          <w:p w:rsidR="00000000" w:rsidRPr="00CD7E15" w:rsidP="00CD7E15">
            <w:pPr>
              <w:pStyle w:val="List"/>
            </w:pPr>
            <w:r w:rsidRPr="00CD7E15">
              <w:t xml:space="preserve">2.1.Identify and perform </w:t>
            </w:r>
            <w:r w:rsidRPr="00CD7E15">
              <w:rPr>
                <w:rStyle w:val="BoldandItalics"/>
              </w:rPr>
              <w:t>numerical calculations</w:t>
            </w:r>
            <w:r w:rsidRPr="00CD7E15">
              <w:t xml:space="preserve"> to ensure accurate pricing and collection of money.</w:t>
            </w:r>
          </w:p>
          <w:p w:rsidR="00000000" w:rsidP="00CD7E15">
            <w:pPr>
              <w:pStyle w:val="List"/>
              <w:rPr>
                <w:lang w:val="en-NZ"/>
              </w:rPr>
            </w:pPr>
            <w:r w:rsidRPr="00CD7E15">
              <w:t>2.2.Collect numerical information from various sources and calculate accurately with or without the use of a calculator.</w:t>
            </w:r>
          </w:p>
        </w:tc>
      </w:tr>
      <w:tr w:rsidTr="00CD7E15">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CD7E15">
            <w:pPr>
              <w:pStyle w:val="List"/>
              <w:rPr>
                <w:lang w:val="en-NZ"/>
              </w:rPr>
            </w:pPr>
            <w:r w:rsidRPr="00CD7E15">
              <w:t>3.</w:t>
            </w:r>
            <w:r w:rsidRPr="00CD7E15">
              <w:tab/>
            </w:r>
            <w:r w:rsidRPr="00CD7E15">
              <w:t xml:space="preserve">Perform point-of-sale transactions. </w:t>
            </w:r>
          </w:p>
        </w:tc>
        <w:tc>
          <w:tcPr>
            <w:tcW w:w="6394" w:type="dxa"/>
            <w:tcBorders>
              <w:top w:val="nil"/>
              <w:left w:val="nil"/>
              <w:bottom w:val="nil"/>
              <w:right w:val="nil"/>
            </w:tcBorders>
            <w:tcMar>
              <w:top w:w="0" w:type="dxa"/>
              <w:left w:w="62" w:type="dxa"/>
              <w:bottom w:w="0" w:type="dxa"/>
              <w:right w:w="62" w:type="dxa"/>
            </w:tcMar>
          </w:tcPr>
          <w:p w:rsidR="00000000" w:rsidRPr="00CD7E15" w:rsidP="00CD7E15">
            <w:pPr>
              <w:pStyle w:val="List"/>
            </w:pPr>
            <w:r w:rsidRPr="00CD7E15">
              <w:t xml:space="preserve">3.1.Complete </w:t>
            </w:r>
            <w:r w:rsidRPr="00CD7E15">
              <w:rPr>
                <w:rStyle w:val="BoldandItalics"/>
              </w:rPr>
              <w:t>point-of-sale transactions</w:t>
            </w:r>
            <w:r w:rsidRPr="00CD7E15">
              <w:t xml:space="preserve"> according to store policy.</w:t>
            </w:r>
          </w:p>
          <w:p w:rsidR="00000000" w:rsidRPr="00CD7E15" w:rsidP="00CD7E15">
            <w:pPr>
              <w:pStyle w:val="List"/>
            </w:pPr>
            <w:r w:rsidRPr="00CD7E15">
              <w:t>3.2.Identify and apply store procedures in respect of cash and non cash transactions.</w:t>
            </w:r>
          </w:p>
          <w:p w:rsidR="00000000" w:rsidRPr="00CD7E15" w:rsidP="00CD7E15">
            <w:pPr>
              <w:pStyle w:val="List"/>
            </w:pPr>
            <w:r w:rsidRPr="00CD7E15">
              <w:t>3.3.Identify and apply store procedures in regard to exchanges and</w:t>
            </w:r>
            <w:r w:rsidRPr="00CD7E15">
              <w:t xml:space="preserve"> returns.</w:t>
            </w:r>
          </w:p>
          <w:p w:rsidR="00000000" w:rsidRPr="00CD7E15" w:rsidP="00CD7E15">
            <w:pPr>
              <w:pStyle w:val="List"/>
            </w:pPr>
            <w:r w:rsidRPr="00CD7E15">
              <w:t>3.4.Move goods through point-of-sale area efficiently and with attention to fragility and packaging.</w:t>
            </w:r>
          </w:p>
          <w:p w:rsidR="00000000" w:rsidRPr="00CD7E15" w:rsidP="00CD7E15">
            <w:pPr>
              <w:pStyle w:val="List"/>
            </w:pPr>
            <w:r w:rsidRPr="00CD7E15">
              <w:t xml:space="preserve">3.5.Enter information into </w:t>
            </w:r>
            <w:r w:rsidRPr="00CD7E15">
              <w:rPr>
                <w:rStyle w:val="BoldandItalics"/>
              </w:rPr>
              <w:t>point-of-sale equipment</w:t>
            </w:r>
            <w:r w:rsidRPr="00CD7E15">
              <w:t>.</w:t>
            </w:r>
          </w:p>
          <w:p w:rsidR="00000000" w:rsidRPr="00CD7E15" w:rsidP="00CD7E15">
            <w:pPr>
              <w:pStyle w:val="List"/>
            </w:pPr>
            <w:r w:rsidRPr="00CD7E15">
              <w:t>3.6.State price or total and amount of cash received verbally to customer.</w:t>
            </w:r>
          </w:p>
          <w:p w:rsidR="00000000" w:rsidP="00CD7E15">
            <w:pPr>
              <w:pStyle w:val="List"/>
              <w:rPr>
                <w:lang w:val="en-NZ"/>
              </w:rPr>
            </w:pPr>
            <w:r w:rsidRPr="00CD7E15">
              <w:t>3.7.Tender correct</w:t>
            </w:r>
            <w:r w:rsidRPr="00CD7E15">
              <w:t xml:space="preserve"> change.</w:t>
            </w:r>
          </w:p>
        </w:tc>
      </w:tr>
      <w:tr w:rsidTr="00CD7E15">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CD7E15">
            <w:pPr>
              <w:pStyle w:val="List"/>
              <w:rPr>
                <w:lang w:val="en-NZ"/>
              </w:rPr>
            </w:pPr>
            <w:r w:rsidRPr="00CD7E15">
              <w:t>4.</w:t>
            </w:r>
            <w:r w:rsidRPr="00CD7E15">
              <w:tab/>
              <w:t>Complete sales.</w:t>
            </w:r>
          </w:p>
        </w:tc>
        <w:tc>
          <w:tcPr>
            <w:tcW w:w="6394" w:type="dxa"/>
            <w:tcBorders>
              <w:top w:val="nil"/>
              <w:left w:val="nil"/>
              <w:bottom w:val="nil"/>
              <w:right w:val="nil"/>
            </w:tcBorders>
            <w:tcMar>
              <w:top w:w="0" w:type="dxa"/>
              <w:left w:w="62" w:type="dxa"/>
              <w:bottom w:w="0" w:type="dxa"/>
              <w:right w:w="62" w:type="dxa"/>
            </w:tcMar>
          </w:tcPr>
          <w:p w:rsidR="00000000" w:rsidRPr="00CD7E15" w:rsidP="00CD7E15">
            <w:pPr>
              <w:pStyle w:val="List"/>
            </w:pPr>
            <w:r w:rsidRPr="00CD7E15">
              <w:t>4.1.Complete customer order forms, invoices and receipts and process any loyalty card transactions.</w:t>
            </w:r>
          </w:p>
          <w:p w:rsidR="00000000" w:rsidRPr="00CD7E15" w:rsidP="00CD7E15">
            <w:pPr>
              <w:pStyle w:val="List"/>
            </w:pPr>
            <w:r w:rsidRPr="00CD7E15">
              <w:t>4.2.Identify and process customer delivery requirements according to set timeframes.</w:t>
            </w:r>
          </w:p>
          <w:p w:rsidR="00000000" w:rsidRPr="00CD7E15" w:rsidP="00CD7E15">
            <w:pPr>
              <w:pStyle w:val="List"/>
            </w:pPr>
            <w:r w:rsidRPr="00CD7E15">
              <w:t>4.3.Process sales transactions or direct c</w:t>
            </w:r>
            <w:r w:rsidRPr="00CD7E15">
              <w:t>ustomers to point-of-sale terminals according to store policy without undue delay.</w:t>
            </w:r>
          </w:p>
          <w:p w:rsidR="00000000" w:rsidP="00CD7E15">
            <w:pPr>
              <w:pStyle w:val="List"/>
              <w:rPr>
                <w:lang w:val="en-NZ"/>
              </w:rPr>
            </w:pPr>
            <w:r w:rsidRPr="00CD7E15">
              <w:t>4.4.Acknowledge and thank customer in line with store policy and procedures.</w:t>
            </w:r>
          </w:p>
        </w:tc>
      </w:tr>
      <w:tr w:rsidTr="00CD7E15">
        <w:tblPrEx>
          <w:tblW w:w="0" w:type="auto"/>
          <w:tblLayout w:type="fixed"/>
          <w:tblCellMar>
            <w:left w:w="62" w:type="dxa"/>
            <w:right w:w="62" w:type="dxa"/>
          </w:tblCellMar>
          <w:tblLook w:val="0000"/>
        </w:tblPrEx>
        <w:trPr>
          <w:trHeight w:val="337"/>
        </w:trPr>
        <w:tc>
          <w:tcPr>
            <w:tcW w:w="2536" w:type="dxa"/>
            <w:tcBorders>
              <w:top w:val="nil"/>
              <w:left w:val="nil"/>
              <w:bottom w:val="nil"/>
              <w:right w:val="nil"/>
            </w:tcBorders>
            <w:tcMar>
              <w:top w:w="0" w:type="dxa"/>
              <w:left w:w="62" w:type="dxa"/>
              <w:bottom w:w="0" w:type="dxa"/>
              <w:right w:w="62" w:type="dxa"/>
            </w:tcMar>
          </w:tcPr>
          <w:p w:rsidR="00000000" w:rsidP="00CD7E15">
            <w:pPr>
              <w:pStyle w:val="List"/>
              <w:rPr>
                <w:lang w:val="en-NZ"/>
              </w:rPr>
            </w:pPr>
            <w:r w:rsidRPr="00CD7E15">
              <w:t>5.</w:t>
            </w:r>
            <w:r w:rsidRPr="00CD7E15">
              <w:tab/>
              <w:t>Wrap and pack goods.</w:t>
            </w:r>
          </w:p>
        </w:tc>
        <w:tc>
          <w:tcPr>
            <w:tcW w:w="6394" w:type="dxa"/>
            <w:tcBorders>
              <w:top w:val="nil"/>
              <w:left w:val="nil"/>
              <w:bottom w:val="nil"/>
              <w:right w:val="nil"/>
            </w:tcBorders>
            <w:tcMar>
              <w:top w:w="0" w:type="dxa"/>
              <w:left w:w="62" w:type="dxa"/>
              <w:bottom w:w="0" w:type="dxa"/>
              <w:right w:w="62" w:type="dxa"/>
            </w:tcMar>
          </w:tcPr>
          <w:p w:rsidR="00000000" w:rsidRPr="00CD7E15" w:rsidP="00CD7E15">
            <w:pPr>
              <w:pStyle w:val="List"/>
            </w:pPr>
            <w:r w:rsidRPr="00CD7E15">
              <w:t xml:space="preserve">5.1.Maintain and request adequate supplies of </w:t>
            </w:r>
            <w:r w:rsidRPr="00CD7E15">
              <w:rPr>
                <w:rStyle w:val="BoldandItalics"/>
              </w:rPr>
              <w:t>wrapping and packaging ma</w:t>
            </w:r>
            <w:r w:rsidRPr="00CD7E15">
              <w:rPr>
                <w:rStyle w:val="BoldandItalics"/>
              </w:rPr>
              <w:t>terials</w:t>
            </w:r>
            <w:r w:rsidRPr="00CD7E15">
              <w:t>.</w:t>
            </w:r>
          </w:p>
          <w:p w:rsidR="00000000" w:rsidRPr="00CD7E15" w:rsidP="00CD7E15">
            <w:pPr>
              <w:pStyle w:val="List"/>
            </w:pPr>
            <w:r w:rsidRPr="00CD7E15">
              <w:t>5.2.Select appropriate wrapping or packaging material.</w:t>
            </w:r>
          </w:p>
          <w:p w:rsidR="00000000" w:rsidRPr="00CD7E15" w:rsidP="00CD7E15">
            <w:pPr>
              <w:pStyle w:val="List"/>
            </w:pPr>
            <w:r w:rsidRPr="00CD7E15">
              <w:t>5.3.Wrap merchandise neatly and effectively where required.</w:t>
            </w:r>
          </w:p>
          <w:p w:rsidR="00000000" w:rsidRPr="00CD7E15" w:rsidP="00CD7E15">
            <w:pPr>
              <w:pStyle w:val="List"/>
            </w:pPr>
            <w:r w:rsidRPr="00CD7E15">
              <w:t>5.4.Pack items safely to avoid damage in transit, and attach labels where required.</w:t>
            </w:r>
          </w:p>
          <w:p w:rsidR="00000000" w:rsidRPr="00CD7E15" w:rsidP="00CD7E15">
            <w:pPr>
              <w:pStyle w:val="List"/>
            </w:pPr>
            <w:r w:rsidRPr="00CD7E15">
              <w:t>5.5.Arrange transfer of merchandise for parcel p</w:t>
            </w:r>
            <w:r w:rsidRPr="00CD7E15">
              <w:t xml:space="preserve">ick up or other </w:t>
            </w:r>
            <w:r w:rsidRPr="00CD7E15">
              <w:rPr>
                <w:rStyle w:val="BoldandItalics"/>
              </w:rPr>
              <w:t>delivery methods</w:t>
            </w:r>
            <w:r w:rsidRPr="00CD7E15">
              <w:t xml:space="preserve"> if required.</w:t>
            </w:r>
          </w:p>
        </w:tc>
      </w:tr>
    </w:tbl>
    <w:p w:rsidR="00000000" w:rsidRPr="00CD7E15" w:rsidP="00CD7E15">
      <w:pPr>
        <w:pStyle w:val="BodyText"/>
      </w:pPr>
    </w:p>
    <w:p w:rsidR="00000000" w:rsidRPr="00CD7E15" w:rsidP="00CD7E15">
      <w:pPr>
        <w:pStyle w:val="AllowPageBreak"/>
      </w:pPr>
    </w:p>
    <w:p w:rsidR="00000000" w:rsidRPr="00CD7E15" w:rsidP="00CD7E15">
      <w:pPr>
        <w:pStyle w:val="Heading1"/>
      </w:pPr>
      <w:bookmarkStart w:id="9" w:name="O_393747"/>
      <w:bookmarkEnd w:id="9"/>
      <w:r w:rsidRPr="00CD7E15">
        <w:t>Required Skills and Knowledge</w:t>
      </w:r>
    </w:p>
    <w:tbl>
      <w:tblPr>
        <w:tblW w:w="0" w:type="auto"/>
        <w:tblLayout w:type="fixed"/>
        <w:tblCellMar>
          <w:left w:w="62" w:type="dxa"/>
          <w:right w:w="62" w:type="dxa"/>
        </w:tblCellMar>
        <w:tblLook w:val="0000"/>
      </w:tblPr>
      <w:tblGrid>
        <w:gridCol w:w="8930"/>
      </w:tblGrid>
      <w:tr w:rsidTr="00CD7E1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t>This section describes the skills and knowledge required for this unit.</w:t>
            </w:r>
          </w:p>
        </w:tc>
      </w:tr>
      <w:tr w:rsidTr="00CD7E1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SpecialBold"/>
              </w:rPr>
              <w:t>Required skills</w:t>
            </w:r>
          </w:p>
        </w:tc>
      </w:tr>
      <w:tr w:rsidTr="00CD7E1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communication and interpersonal skills to:</w:t>
            </w:r>
          </w:p>
          <w:p w:rsidR="00000000" w:rsidRPr="00CD7E15" w:rsidP="00CD7E15">
            <w:pPr>
              <w:pStyle w:val="ListBullet2"/>
            </w:pPr>
            <w:r w:rsidRPr="00CD7E15">
              <w:t>ask questions to identify and confirm requirements</w:t>
            </w:r>
          </w:p>
          <w:p w:rsidR="00000000" w:rsidRPr="00CD7E15" w:rsidP="00CD7E15">
            <w:pPr>
              <w:pStyle w:val="ListBullet2"/>
            </w:pPr>
            <w:r w:rsidRPr="00CD7E15">
              <w:t>inform customers of delays</w:t>
            </w:r>
          </w:p>
          <w:p w:rsidR="00000000" w:rsidRPr="00CD7E15" w:rsidP="00CD7E15">
            <w:pPr>
              <w:pStyle w:val="ListBullet2"/>
            </w:pPr>
            <w:r w:rsidRPr="00CD7E15">
              <w:t>listen actively</w:t>
            </w:r>
          </w:p>
          <w:p w:rsidR="00000000" w:rsidRPr="00CD7E15" w:rsidP="00CD7E15">
            <w:pPr>
              <w:pStyle w:val="ListBullet2"/>
            </w:pPr>
            <w:r w:rsidRPr="00CD7E15">
              <w:t>request adequate supplies of wrapping material or bags through clear and direct communication</w:t>
            </w:r>
          </w:p>
          <w:p w:rsidR="00000000" w:rsidRPr="00CD7E15" w:rsidP="00CD7E15">
            <w:pPr>
              <w:pStyle w:val="ListBullet2"/>
            </w:pPr>
            <w:r w:rsidRPr="00CD7E15">
              <w:t>share information</w:t>
            </w:r>
          </w:p>
          <w:p w:rsidR="00000000" w:rsidRPr="00CD7E15" w:rsidP="00CD7E15">
            <w:pPr>
              <w:pStyle w:val="ListBullet2"/>
            </w:pPr>
            <w:r w:rsidRPr="00CD7E15">
              <w:t>state price or total and amount of cash received</w:t>
            </w:r>
          </w:p>
          <w:p w:rsidR="00000000" w:rsidRPr="00CD7E15" w:rsidP="00CD7E15">
            <w:pPr>
              <w:pStyle w:val="ListBullet2"/>
            </w:pPr>
            <w:r w:rsidRPr="00CD7E15">
              <w:t>use and interpret non-verbal communication</w:t>
            </w:r>
          </w:p>
          <w:p w:rsidR="00000000" w:rsidRPr="00CD7E15" w:rsidP="00CD7E15">
            <w:pPr>
              <w:pStyle w:val="ListBullet2"/>
            </w:pPr>
            <w:r w:rsidRPr="00CD7E15">
              <w:t>use language and concepts appropriate to cultural differences</w:t>
            </w:r>
          </w:p>
          <w:p w:rsidR="00000000" w:rsidRPr="00CD7E15" w:rsidP="00CD7E15">
            <w:pPr>
              <w:pStyle w:val="ListBullet"/>
            </w:pPr>
            <w:r w:rsidRPr="00CD7E15">
              <w:t>self-management skills to:</w:t>
            </w:r>
          </w:p>
          <w:p w:rsidR="00000000" w:rsidRPr="00CD7E15" w:rsidP="00CD7E15">
            <w:pPr>
              <w:pStyle w:val="ListBullet2"/>
            </w:pPr>
            <w:r w:rsidRPr="00CD7E15">
              <w:t>deal with different types of transactions</w:t>
            </w:r>
          </w:p>
          <w:p w:rsidR="00000000" w:rsidRPr="00CD7E15" w:rsidP="00CD7E15">
            <w:pPr>
              <w:pStyle w:val="ListBullet2"/>
            </w:pPr>
            <w:r w:rsidRPr="00CD7E15">
              <w:t>follow set routines and procedures</w:t>
            </w:r>
          </w:p>
          <w:p w:rsidR="00000000" w:rsidRPr="00CD7E15" w:rsidP="00CD7E15">
            <w:pPr>
              <w:pStyle w:val="ListBullet"/>
            </w:pPr>
            <w:r w:rsidRPr="00CD7E15">
              <w:t>literacy and numeracy skills to:</w:t>
            </w:r>
          </w:p>
          <w:p w:rsidR="00000000" w:rsidRPr="00CD7E15" w:rsidP="00CD7E15">
            <w:pPr>
              <w:pStyle w:val="ListBullet2"/>
            </w:pPr>
            <w:r w:rsidRPr="00CD7E15">
              <w:t>document s</w:t>
            </w:r>
            <w:r w:rsidRPr="00CD7E15">
              <w:t>ales and delivery information</w:t>
            </w:r>
          </w:p>
          <w:p w:rsidR="00000000" w:rsidRPr="00CD7E15" w:rsidP="00CD7E15">
            <w:pPr>
              <w:pStyle w:val="ListBullet2"/>
            </w:pPr>
            <w:r w:rsidRPr="00CD7E15">
              <w:t>render change</w:t>
            </w:r>
          </w:p>
          <w:p w:rsidR="00000000" w:rsidP="00CD7E15">
            <w:pPr>
              <w:pStyle w:val="ListBullet2"/>
              <w:rPr>
                <w:lang w:val="en-NZ"/>
              </w:rPr>
            </w:pPr>
            <w:r w:rsidRPr="00CD7E15">
              <w:t>undertake work functions, including addition, division, multiplication, percentages and subtraction</w:t>
            </w:r>
          </w:p>
        </w:tc>
      </w:tr>
      <w:tr w:rsidTr="00CD7E1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SpecialBold"/>
              </w:rPr>
              <w:t>Required knowledge</w:t>
            </w:r>
          </w:p>
        </w:tc>
      </w:tr>
      <w:tr w:rsidTr="00CD7E1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cash and non-cash handling procedures, including:</w:t>
            </w:r>
          </w:p>
          <w:p w:rsidR="00000000" w:rsidRPr="00CD7E15" w:rsidP="00CD7E15">
            <w:pPr>
              <w:pStyle w:val="ListBullet2"/>
            </w:pPr>
            <w:r w:rsidRPr="00CD7E15">
              <w:t>balancing point-of-sale equipment</w:t>
            </w:r>
          </w:p>
          <w:p w:rsidR="00000000" w:rsidRPr="00CD7E15" w:rsidP="00CD7E15">
            <w:pPr>
              <w:pStyle w:val="ListBullet2"/>
            </w:pPr>
            <w:r w:rsidRPr="00CD7E15">
              <w:t>calculating non</w:t>
            </w:r>
            <w:r w:rsidRPr="00CD7E15">
              <w:noBreakHyphen/>
              <w:t>cash documents</w:t>
            </w:r>
          </w:p>
          <w:p w:rsidR="00000000" w:rsidRPr="00CD7E15" w:rsidP="00CD7E15">
            <w:pPr>
              <w:pStyle w:val="ListBullet2"/>
            </w:pPr>
            <w:r w:rsidRPr="00CD7E15">
              <w:t>change required, denominations of change and tendering change</w:t>
            </w:r>
          </w:p>
          <w:p w:rsidR="00000000" w:rsidRPr="00CD7E15" w:rsidP="00CD7E15">
            <w:pPr>
              <w:pStyle w:val="ListBullet2"/>
            </w:pPr>
            <w:r w:rsidRPr="00CD7E15">
              <w:t>clearance of terminal and transference of tender</w:t>
            </w:r>
          </w:p>
          <w:p w:rsidR="00000000" w:rsidRPr="00CD7E15" w:rsidP="00CD7E15">
            <w:pPr>
              <w:pStyle w:val="ListBullet2"/>
            </w:pPr>
            <w:r w:rsidRPr="00CD7E15">
              <w:t>counting cash</w:t>
            </w:r>
          </w:p>
          <w:p w:rsidR="00000000" w:rsidRPr="00CD7E15" w:rsidP="00CD7E15">
            <w:pPr>
              <w:pStyle w:val="ListBullet2"/>
            </w:pPr>
            <w:r w:rsidRPr="00CD7E15">
              <w:t>maintenance of cash float</w:t>
            </w:r>
          </w:p>
          <w:p w:rsidR="00000000" w:rsidRPr="00CD7E15" w:rsidP="00CD7E15">
            <w:pPr>
              <w:pStyle w:val="ListBullet2"/>
            </w:pPr>
            <w:r w:rsidRPr="00CD7E15">
              <w:t>opening and closing point-of-sale terminal</w:t>
            </w:r>
          </w:p>
          <w:p w:rsidR="00000000" w:rsidRPr="00CD7E15" w:rsidP="00CD7E15">
            <w:pPr>
              <w:pStyle w:val="ListBullet2"/>
            </w:pPr>
            <w:r w:rsidRPr="00CD7E15">
              <w:t>recording takings</w:t>
            </w:r>
          </w:p>
          <w:p w:rsidR="00000000" w:rsidRPr="00CD7E15" w:rsidP="00CD7E15">
            <w:pPr>
              <w:pStyle w:val="ListBullet2"/>
            </w:pPr>
            <w:r w:rsidRPr="00CD7E15">
              <w:t>security of cash and non-cash transactions</w:t>
            </w:r>
          </w:p>
          <w:p w:rsidR="00000000" w:rsidRPr="00CD7E15" w:rsidP="00CD7E15">
            <w:pPr>
              <w:pStyle w:val="ListBullet"/>
            </w:pPr>
            <w:r w:rsidRPr="00CD7E15">
              <w:t>functions and procedures for operating point-of-sale equipment, including:</w:t>
            </w:r>
          </w:p>
          <w:p w:rsidR="00000000" w:rsidRPr="00CD7E15" w:rsidP="00CD7E15">
            <w:pPr>
              <w:pStyle w:val="ListBullet2"/>
            </w:pPr>
            <w:r w:rsidRPr="00CD7E15">
              <w:t>calculators</w:t>
            </w:r>
          </w:p>
          <w:p w:rsidR="00000000" w:rsidRPr="00CD7E15" w:rsidP="00CD7E15">
            <w:pPr>
              <w:pStyle w:val="ListBullet2"/>
            </w:pPr>
            <w:r w:rsidRPr="00CD7E15">
              <w:t>electronic scales</w:t>
            </w:r>
          </w:p>
          <w:p w:rsidR="00000000" w:rsidRPr="00CD7E15" w:rsidP="00CD7E15">
            <w:pPr>
              <w:pStyle w:val="ListBullet2"/>
            </w:pPr>
            <w:r w:rsidRPr="00CD7E15">
              <w:t>numerical display board</w:t>
            </w:r>
          </w:p>
          <w:p w:rsidR="00000000" w:rsidRPr="00CD7E15" w:rsidP="00CD7E15">
            <w:pPr>
              <w:pStyle w:val="ListBullet2"/>
            </w:pPr>
            <w:r w:rsidRPr="00CD7E15">
              <w:t>registers</w:t>
            </w:r>
          </w:p>
          <w:p w:rsidR="00000000" w:rsidRPr="00CD7E15" w:rsidP="00CD7E15">
            <w:pPr>
              <w:pStyle w:val="ListBullet"/>
            </w:pPr>
            <w:r w:rsidRPr="00CD7E15">
              <w:t>merchandise handling techniques, including wrapping and packaging techn</w:t>
            </w:r>
            <w:r w:rsidRPr="00CD7E15">
              <w:t>iques</w:t>
            </w:r>
          </w:p>
          <w:p w:rsidR="00000000" w:rsidRPr="00CD7E15" w:rsidP="00CD7E15">
            <w:pPr>
              <w:pStyle w:val="ListBullet"/>
            </w:pPr>
            <w:r w:rsidRPr="00CD7E15">
              <w:t>range of services provided by the store</w:t>
            </w:r>
          </w:p>
          <w:p w:rsidR="00000000" w:rsidRPr="00CD7E15" w:rsidP="00CD7E15">
            <w:pPr>
              <w:pStyle w:val="ListBullet"/>
            </w:pPr>
            <w:r w:rsidRPr="00CD7E15">
              <w:t>relevant legislation and statutory requirements, including:</w:t>
            </w:r>
          </w:p>
          <w:p w:rsidR="00000000" w:rsidRPr="00CD7E15" w:rsidP="00CD7E15">
            <w:pPr>
              <w:pStyle w:val="ListBullet2"/>
            </w:pPr>
            <w:r w:rsidRPr="00CD7E15">
              <w:t>industry codes of practice</w:t>
            </w:r>
          </w:p>
          <w:p w:rsidR="00000000" w:rsidRPr="00CD7E15" w:rsidP="00CD7E15">
            <w:pPr>
              <w:pStyle w:val="ListBullet2"/>
            </w:pPr>
            <w:r w:rsidRPr="00CD7E15">
              <w:t>work health and safety (WHS)</w:t>
            </w:r>
          </w:p>
          <w:p w:rsidR="00000000" w:rsidRPr="00CD7E15" w:rsidP="00CD7E15">
            <w:pPr>
              <w:pStyle w:val="ListBullet2"/>
            </w:pPr>
            <w:r w:rsidRPr="00CD7E15">
              <w:t>Australian consumer law</w:t>
            </w:r>
          </w:p>
          <w:p w:rsidR="00000000" w:rsidRPr="00CD7E15" w:rsidP="00CD7E15">
            <w:pPr>
              <w:pStyle w:val="ListBullet2"/>
            </w:pPr>
            <w:r w:rsidRPr="00CD7E15">
              <w:t xml:space="preserve">scanners </w:t>
            </w:r>
          </w:p>
          <w:p w:rsidR="00000000" w:rsidRPr="00CD7E15" w:rsidP="00CD7E15">
            <w:pPr>
              <w:pStyle w:val="ListBullet"/>
            </w:pPr>
            <w:r w:rsidRPr="00CD7E15">
              <w:t>store policy and procedures in relation to:</w:t>
            </w:r>
          </w:p>
          <w:p w:rsidR="00000000" w:rsidRPr="00CD7E15" w:rsidP="00CD7E15">
            <w:pPr>
              <w:pStyle w:val="ListBullet2"/>
            </w:pPr>
            <w:r w:rsidRPr="00CD7E15">
              <w:t>allocated duties and responsibilities</w:t>
            </w:r>
          </w:p>
          <w:p w:rsidR="00000000" w:rsidRPr="00CD7E15" w:rsidP="00CD7E15">
            <w:pPr>
              <w:pStyle w:val="ListBullet2"/>
            </w:pPr>
            <w:r w:rsidRPr="00CD7E15">
              <w:t>bag checking</w:t>
            </w:r>
          </w:p>
          <w:p w:rsidR="00000000" w:rsidRPr="00CD7E15" w:rsidP="00CD7E15">
            <w:pPr>
              <w:pStyle w:val="ListBullet2"/>
            </w:pPr>
            <w:r w:rsidRPr="00CD7E15">
              <w:t>customer service</w:t>
            </w:r>
          </w:p>
          <w:p w:rsidR="00000000" w:rsidRPr="00CD7E15" w:rsidP="00CD7E15">
            <w:pPr>
              <w:pStyle w:val="ListBullet2"/>
            </w:pPr>
            <w:r w:rsidRPr="00CD7E15">
              <w:t>exchanges and returns</w:t>
            </w:r>
          </w:p>
          <w:p w:rsidR="00000000" w:rsidRPr="00CD7E15" w:rsidP="00CD7E15">
            <w:pPr>
              <w:pStyle w:val="ListBullet2"/>
            </w:pPr>
            <w:r w:rsidRPr="00CD7E15">
              <w:t>handling, packing and wrapping goods or merchandise</w:t>
            </w:r>
          </w:p>
          <w:p w:rsidR="00000000" w:rsidRPr="00CD7E15" w:rsidP="00CD7E15">
            <w:pPr>
              <w:pStyle w:val="ListBullet2"/>
            </w:pPr>
            <w:r w:rsidRPr="00CD7E15">
              <w:t>point-of-sale transactions</w:t>
            </w:r>
          </w:p>
          <w:p w:rsidR="00000000" w:rsidRPr="00CD7E15" w:rsidP="00CD7E15">
            <w:pPr>
              <w:pStyle w:val="ListBullet"/>
            </w:pPr>
            <w:r w:rsidRPr="00CD7E15">
              <w:t>stock availability</w:t>
            </w:r>
          </w:p>
          <w:p w:rsidR="00000000" w:rsidRPr="00CD7E15" w:rsidP="00CD7E15">
            <w:pPr>
              <w:pStyle w:val="ListBullet"/>
            </w:pPr>
            <w:r w:rsidRPr="00CD7E15">
              <w:t>key features of a calculator</w:t>
            </w:r>
          </w:p>
        </w:tc>
      </w:tr>
    </w:tbl>
    <w:p w:rsidR="00000000" w:rsidRPr="00CD7E15" w:rsidP="00CD7E15">
      <w:pPr>
        <w:pStyle w:val="BodyText"/>
      </w:pPr>
    </w:p>
    <w:p w:rsidR="00000000" w:rsidRPr="00CD7E15" w:rsidP="00CD7E15">
      <w:pPr>
        <w:pStyle w:val="AllowPageBreak"/>
      </w:pPr>
    </w:p>
    <w:p w:rsidR="00000000" w:rsidRPr="00CD7E15" w:rsidP="00CD7E15">
      <w:pPr>
        <w:pStyle w:val="Heading1"/>
      </w:pPr>
      <w:bookmarkStart w:id="10" w:name="O_393748"/>
      <w:bookmarkEnd w:id="10"/>
      <w:r w:rsidRPr="00CD7E15">
        <w:t>Evidence Guide</w:t>
      </w:r>
    </w:p>
    <w:tbl>
      <w:tblPr>
        <w:tblW w:w="0" w:type="auto"/>
        <w:tblLayout w:type="fixed"/>
        <w:tblCellMar>
          <w:left w:w="62" w:type="dxa"/>
          <w:right w:w="62" w:type="dxa"/>
        </w:tblCellMar>
        <w:tblLook w:val="0000"/>
      </w:tblPr>
      <w:tblGrid>
        <w:gridCol w:w="2527"/>
        <w:gridCol w:w="6403"/>
      </w:tblGrid>
      <w:tr w:rsidTr="00CD7E15">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t>The evidence guide provides advice on assessment and must be read in conjunction with the performance criteria, required skills and knowledge, range statement and the Assessment Guidelines for the Training Package.</w:t>
            </w:r>
          </w:p>
        </w:tc>
      </w:tr>
      <w:tr w:rsidTr="00CD7E15">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SpecialBold"/>
              </w:rPr>
              <w:t>Critical aspects for assessment and evidence required to demonstrate competency in this unit</w:t>
            </w:r>
          </w:p>
        </w:tc>
        <w:tc>
          <w:tcPr>
            <w:tcW w:w="6403" w:type="dxa"/>
            <w:tcBorders>
              <w:top w:val="nil"/>
              <w:left w:val="nil"/>
              <w:bottom w:val="nil"/>
              <w:right w:val="nil"/>
            </w:tcBorders>
            <w:tcMar>
              <w:top w:w="0" w:type="dxa"/>
              <w:left w:w="62" w:type="dxa"/>
              <w:bottom w:w="0" w:type="dxa"/>
              <w:right w:w="62" w:type="dxa"/>
            </w:tcMar>
          </w:tcPr>
          <w:p w:rsidR="00000000" w:rsidRPr="00CD7E15" w:rsidP="00CD7E15">
            <w:pPr>
              <w:pStyle w:val="BodyText"/>
            </w:pPr>
            <w:r w:rsidRPr="00CD7E15">
              <w:t>Evidence of the following is essential:</w:t>
            </w:r>
          </w:p>
          <w:p w:rsidR="00000000" w:rsidRPr="00CD7E15" w:rsidP="00CD7E15">
            <w:pPr>
              <w:pStyle w:val="ListBullet"/>
            </w:pPr>
            <w:r w:rsidRPr="00CD7E15">
              <w:t>operates point-of-sale equipment according to manufacturer instructions and store policy and procedures</w:t>
            </w:r>
          </w:p>
          <w:p w:rsidR="00000000" w:rsidRPr="00CD7E15" w:rsidP="00CD7E15">
            <w:pPr>
              <w:pStyle w:val="ListBullet"/>
            </w:pPr>
            <w:r w:rsidRPr="00CD7E15">
              <w:t>applies store poli</w:t>
            </w:r>
            <w:r w:rsidRPr="00CD7E15">
              <w:t>cy and procedures in regard to cash handling and point-of-sale transactions</w:t>
            </w:r>
          </w:p>
          <w:p w:rsidR="00000000" w:rsidRPr="00CD7E15" w:rsidP="00CD7E15">
            <w:pPr>
              <w:pStyle w:val="ListBullet"/>
            </w:pPr>
            <w:r w:rsidRPr="00CD7E15">
              <w:t>interprets, calculates and records numerical information accurately</w:t>
            </w:r>
          </w:p>
          <w:p w:rsidR="00000000" w:rsidRPr="00CD7E15" w:rsidP="00CD7E15">
            <w:pPr>
              <w:pStyle w:val="ListBullet"/>
            </w:pPr>
            <w:r w:rsidRPr="00CD7E15">
              <w:t>processes sales transaction information responsibly and accurately according to store policy and procedures</w:t>
            </w:r>
          </w:p>
          <w:p w:rsidR="00000000" w:rsidP="00CD7E15">
            <w:pPr>
              <w:pStyle w:val="ListBullet"/>
              <w:rPr>
                <w:lang w:val="en-NZ"/>
              </w:rPr>
            </w:pPr>
            <w:r w:rsidRPr="00CD7E15">
              <w:t>appl</w:t>
            </w:r>
            <w:r w:rsidRPr="00CD7E15">
              <w:t>ies store policy and procedures in regard to the handling, packing, wrapping and delivery of goods or merchandise.</w:t>
            </w:r>
          </w:p>
        </w:tc>
      </w:tr>
      <w:tr w:rsidTr="00CD7E15">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SpecialBold"/>
              </w:rPr>
              <w:t>Context of and specific resources for assessment</w:t>
            </w:r>
          </w:p>
        </w:tc>
        <w:tc>
          <w:tcPr>
            <w:tcW w:w="6403" w:type="dxa"/>
            <w:tcBorders>
              <w:top w:val="nil"/>
              <w:left w:val="nil"/>
              <w:bottom w:val="nil"/>
              <w:right w:val="nil"/>
            </w:tcBorders>
            <w:tcMar>
              <w:top w:w="0" w:type="dxa"/>
              <w:left w:w="62" w:type="dxa"/>
              <w:bottom w:w="0" w:type="dxa"/>
              <w:right w:w="62" w:type="dxa"/>
            </w:tcMar>
          </w:tcPr>
          <w:p w:rsidR="00000000" w:rsidRPr="00CD7E15" w:rsidP="00CD7E15">
            <w:pPr>
              <w:pStyle w:val="BodyText"/>
            </w:pPr>
            <w:r w:rsidRPr="00CD7E15">
              <w:t>Assessment must ensure access to:</w:t>
            </w:r>
          </w:p>
          <w:p w:rsidR="00000000" w:rsidRPr="00CD7E15" w:rsidP="00CD7E15">
            <w:pPr>
              <w:pStyle w:val="ListBullet"/>
            </w:pPr>
            <w:r w:rsidRPr="00CD7E15">
              <w:t>a real or simulated retail work environment</w:t>
            </w:r>
          </w:p>
          <w:p w:rsidR="00000000" w:rsidRPr="00CD7E15" w:rsidP="00CD7E15">
            <w:pPr>
              <w:pStyle w:val="ListBullet"/>
            </w:pPr>
            <w:r w:rsidRPr="00CD7E15">
              <w:t>relevant documentation, such as:</w:t>
            </w:r>
          </w:p>
          <w:p w:rsidR="00000000" w:rsidRPr="00CD7E15" w:rsidP="00CD7E15">
            <w:pPr>
              <w:pStyle w:val="ListBullet2"/>
            </w:pPr>
            <w:r w:rsidRPr="00CD7E15">
              <w:t>stock, inventory and price lists</w:t>
            </w:r>
          </w:p>
          <w:p w:rsidR="00000000" w:rsidRPr="00CD7E15" w:rsidP="00CD7E15">
            <w:pPr>
              <w:pStyle w:val="ListBullet2"/>
            </w:pPr>
            <w:r w:rsidRPr="00CD7E15">
              <w:t>financial transaction dockets and slips</w:t>
            </w:r>
          </w:p>
          <w:p w:rsidR="00000000" w:rsidRPr="00CD7E15" w:rsidP="00CD7E15">
            <w:pPr>
              <w:pStyle w:val="ListBullet2"/>
            </w:pPr>
            <w:r w:rsidRPr="00CD7E15">
              <w:t>lay-by, credit and product return slips</w:t>
            </w:r>
          </w:p>
          <w:p w:rsidR="00000000" w:rsidRPr="00CD7E15" w:rsidP="00CD7E15">
            <w:pPr>
              <w:pStyle w:val="ListBullet2"/>
            </w:pPr>
            <w:r w:rsidRPr="00CD7E15">
              <w:t>store policy and procedures manuals</w:t>
            </w:r>
          </w:p>
          <w:p w:rsidR="00000000" w:rsidP="00CD7E15">
            <w:pPr>
              <w:pStyle w:val="ListBullet"/>
              <w:rPr>
                <w:lang w:val="en-NZ"/>
              </w:rPr>
            </w:pPr>
            <w:r w:rsidRPr="00CD7E15">
              <w:t>a range of point-of-sale equipment.</w:t>
            </w:r>
          </w:p>
        </w:tc>
      </w:tr>
      <w:tr w:rsidTr="00CD7E15">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SpecialBold"/>
              </w:rPr>
              <w:t>Method of assessment</w:t>
            </w:r>
          </w:p>
        </w:tc>
        <w:tc>
          <w:tcPr>
            <w:tcW w:w="6403" w:type="dxa"/>
            <w:tcBorders>
              <w:top w:val="nil"/>
              <w:left w:val="nil"/>
              <w:bottom w:val="nil"/>
              <w:right w:val="nil"/>
            </w:tcBorders>
            <w:tcMar>
              <w:top w:w="0" w:type="dxa"/>
              <w:left w:w="62" w:type="dxa"/>
              <w:bottom w:w="0" w:type="dxa"/>
              <w:right w:w="62" w:type="dxa"/>
            </w:tcMar>
          </w:tcPr>
          <w:p w:rsidR="00000000" w:rsidRPr="00CD7E15" w:rsidP="00CD7E15">
            <w:pPr>
              <w:pStyle w:val="BodyText"/>
            </w:pPr>
            <w:r w:rsidRPr="00CD7E15">
              <w:t>A range of assessment methods should be used to assess practical skills and knowledge. The following examples are appropriate for this unit:</w:t>
            </w:r>
          </w:p>
          <w:p w:rsidR="00000000" w:rsidRPr="00CD7E15" w:rsidP="00CD7E15">
            <w:pPr>
              <w:pStyle w:val="ListBullet"/>
            </w:pPr>
            <w:r w:rsidRPr="00CD7E15">
              <w:t>observation of performance in the work</w:t>
            </w:r>
          </w:p>
          <w:p w:rsidR="00000000" w:rsidRPr="00CD7E15" w:rsidP="00CD7E15">
            <w:pPr>
              <w:pStyle w:val="ListBullet"/>
            </w:pPr>
            <w:r w:rsidRPr="00CD7E15">
              <w:t>role play</w:t>
            </w:r>
          </w:p>
          <w:p w:rsidR="00000000" w:rsidRPr="00CD7E15" w:rsidP="00CD7E15">
            <w:pPr>
              <w:pStyle w:val="ListBullet"/>
            </w:pPr>
            <w:r w:rsidRPr="00CD7E15">
              <w:t>customer feedback</w:t>
            </w:r>
          </w:p>
          <w:p w:rsidR="00000000" w:rsidRPr="00CD7E15" w:rsidP="00CD7E15">
            <w:pPr>
              <w:pStyle w:val="ListBullet"/>
            </w:pPr>
            <w:r w:rsidRPr="00CD7E15">
              <w:t>answers to questions about specific skills and knowledge</w:t>
            </w:r>
          </w:p>
          <w:p w:rsidR="00000000" w:rsidP="00CD7E15">
            <w:pPr>
              <w:pStyle w:val="ListBullet"/>
              <w:rPr>
                <w:lang w:val="en-NZ"/>
              </w:rPr>
            </w:pPr>
            <w:r w:rsidRPr="00CD7E15">
              <w:t>review of portfolios of evidence and third-party workplace reports of on-the-job performance.</w:t>
            </w:r>
          </w:p>
        </w:tc>
      </w:tr>
      <w:tr w:rsidTr="00CD7E15">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SpecialBold"/>
              </w:rPr>
              <w:t>Guidance information for assessment</w:t>
            </w:r>
          </w:p>
        </w:tc>
        <w:tc>
          <w:tcPr>
            <w:tcW w:w="6403" w:type="dxa"/>
            <w:tcBorders>
              <w:top w:val="nil"/>
              <w:left w:val="nil"/>
              <w:bottom w:val="nil"/>
              <w:right w:val="nil"/>
            </w:tcBorders>
            <w:tcMar>
              <w:top w:w="0" w:type="dxa"/>
              <w:left w:w="62" w:type="dxa"/>
              <w:bottom w:w="0" w:type="dxa"/>
              <w:right w:w="62" w:type="dxa"/>
            </w:tcMar>
          </w:tcPr>
          <w:p w:rsidR="00000000" w:rsidRPr="00CD7E15" w:rsidP="00CD7E15">
            <w:pPr>
              <w:pStyle w:val="BodyText"/>
            </w:pPr>
            <w:r w:rsidRPr="00CD7E15">
              <w:t>Holistic assessment with other units relevant to the industry sector</w:t>
            </w:r>
            <w:r w:rsidRPr="00CD7E15">
              <w:t>, work and job role is recommended, for example:</w:t>
            </w:r>
          </w:p>
          <w:p w:rsidR="00000000" w:rsidRPr="00CD7E15" w:rsidP="00CD7E15">
            <w:pPr>
              <w:pStyle w:val="ListBullet"/>
            </w:pPr>
            <w:r w:rsidRPr="00CD7E15">
              <w:t>SIRXCCS202 Interact with customers</w:t>
            </w:r>
          </w:p>
          <w:p w:rsidR="00000000" w:rsidRPr="00CD7E15" w:rsidP="00CD7E15">
            <w:pPr>
              <w:pStyle w:val="ListBullet"/>
            </w:pPr>
            <w:r w:rsidRPr="00CD7E15">
              <w:t>SIRXFIN201 Balance and secure point-of-sale terminal</w:t>
            </w:r>
          </w:p>
          <w:p w:rsidR="00000000" w:rsidRPr="00CD7E15" w:rsidP="00CD7E15">
            <w:pPr>
              <w:pStyle w:val="ListBullet"/>
            </w:pPr>
            <w:r w:rsidRPr="00CD7E15">
              <w:t>SIRXINV001A Perform stock control procedures</w:t>
            </w:r>
          </w:p>
          <w:p w:rsidR="00000000" w:rsidRPr="00CD7E15" w:rsidP="00CD7E15">
            <w:pPr>
              <w:pStyle w:val="ListBullet"/>
            </w:pPr>
            <w:r w:rsidRPr="00CD7E15">
              <w:t>SIRXRSK201 Minimise loss.</w:t>
            </w:r>
          </w:p>
        </w:tc>
      </w:tr>
    </w:tbl>
    <w:p w:rsidR="00000000" w:rsidRPr="00CD7E15" w:rsidP="00CD7E15">
      <w:pPr>
        <w:pStyle w:val="BodyText"/>
      </w:pPr>
    </w:p>
    <w:p w:rsidR="00000000" w:rsidRPr="00CD7E15" w:rsidP="00CD7E15">
      <w:pPr>
        <w:pStyle w:val="AllowPageBreak"/>
      </w:pPr>
    </w:p>
    <w:p w:rsidR="00000000" w:rsidRPr="00CD7E15" w:rsidP="00CD7E15">
      <w:pPr>
        <w:pStyle w:val="Heading1"/>
      </w:pPr>
      <w:bookmarkStart w:id="11" w:name="O_393749"/>
      <w:bookmarkEnd w:id="11"/>
      <w:r w:rsidRPr="00CD7E15">
        <w:t>Range Statement</w:t>
      </w:r>
    </w:p>
    <w:tbl>
      <w:tblPr>
        <w:tblW w:w="9354" w:type="dxa"/>
        <w:tblLayout w:type="fixed"/>
        <w:tblCellMar>
          <w:left w:w="62" w:type="dxa"/>
          <w:right w:w="62" w:type="dxa"/>
        </w:tblCellMar>
        <w:tblLook w:val="0000"/>
      </w:tblPr>
      <w:tblGrid>
        <w:gridCol w:w="2586"/>
        <w:gridCol w:w="6768"/>
      </w:tblGrid>
      <w:tr w:rsidTr="00CD7E15">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t>The range statement relates to the unit of competency as a whole. It allows for different work environments and situations that may affect performance. Bold italicised wording, if used in the performance criteria, is detailed below. Essential operating con</w:t>
            </w:r>
            <w:r w:rsidRPr="00CD7E15">
              <w:t>ditions that may be present with training and assessment (depending on the work situation, needs of the individual, accessibility of the item, and local industry and regional contexts) may also be included.</w:t>
            </w:r>
          </w:p>
        </w:tc>
      </w:tr>
      <w:tr w:rsidTr="00CD7E1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BoldandItalics"/>
              </w:rPr>
              <w:t>Store policy and procedures</w:t>
            </w:r>
            <w:r w:rsidRPr="00CD7E15">
              <w:t xml:space="preserve"> in regard to:</w:t>
            </w:r>
          </w:p>
        </w:tc>
        <w:tc>
          <w:tcPr>
            <w:tcW w:w="6768"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cash</w:t>
            </w:r>
            <w:r w:rsidRPr="00CD7E15">
              <w:t xml:space="preserve"> handling</w:t>
            </w:r>
          </w:p>
          <w:p w:rsidR="00000000" w:rsidRPr="00CD7E15" w:rsidP="00CD7E15">
            <w:pPr>
              <w:pStyle w:val="ListBullet"/>
            </w:pPr>
            <w:r w:rsidRPr="00CD7E15">
              <w:t>financial transactions</w:t>
            </w:r>
          </w:p>
          <w:p w:rsidR="00000000" w:rsidRPr="00CD7E15" w:rsidP="00CD7E15">
            <w:pPr>
              <w:pStyle w:val="ListBullet"/>
            </w:pPr>
            <w:r w:rsidRPr="00CD7E15">
              <w:t>handling techniques of stock</w:t>
            </w:r>
          </w:p>
          <w:p w:rsidR="00000000" w:rsidRPr="00CD7E15" w:rsidP="00CD7E15">
            <w:pPr>
              <w:pStyle w:val="ListBullet"/>
            </w:pPr>
            <w:r w:rsidRPr="00CD7E15">
              <w:t>operation of point-of-sale equipment</w:t>
            </w:r>
          </w:p>
          <w:p w:rsidR="00000000" w:rsidRPr="00CD7E15" w:rsidP="00CD7E15">
            <w:pPr>
              <w:pStyle w:val="ListBullet"/>
            </w:pPr>
            <w:r w:rsidRPr="00CD7E15">
              <w:t>sales transactions</w:t>
            </w:r>
          </w:p>
          <w:p w:rsidR="00000000" w:rsidP="00CD7E15">
            <w:pPr>
              <w:pStyle w:val="ListBullet"/>
              <w:rPr>
                <w:lang w:val="en-NZ"/>
              </w:rPr>
            </w:pPr>
            <w:r w:rsidRPr="00CD7E15">
              <w:t>security.</w:t>
            </w:r>
          </w:p>
        </w:tc>
      </w:tr>
      <w:tr w:rsidTr="00CD7E1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BoldandItalics"/>
              </w:rPr>
              <w:t xml:space="preserve">Point-of-sale documents </w:t>
            </w:r>
            <w:r w:rsidRPr="00CD7E15">
              <w:t>may include:</w:t>
            </w:r>
          </w:p>
        </w:tc>
        <w:tc>
          <w:tcPr>
            <w:tcW w:w="6768"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credit slips</w:t>
            </w:r>
          </w:p>
          <w:p w:rsidR="00000000" w:rsidRPr="00CD7E15" w:rsidP="00CD7E15">
            <w:pPr>
              <w:pStyle w:val="ListBullet"/>
            </w:pPr>
            <w:r w:rsidRPr="00CD7E15">
              <w:t>lay-by slips</w:t>
            </w:r>
          </w:p>
          <w:p w:rsidR="00000000" w:rsidRPr="00CD7E15" w:rsidP="00CD7E15">
            <w:pPr>
              <w:pStyle w:val="ListBullet"/>
            </w:pPr>
            <w:r w:rsidRPr="00CD7E15">
              <w:t>message pads</w:t>
            </w:r>
          </w:p>
          <w:p w:rsidR="00000000" w:rsidRPr="00CD7E15" w:rsidP="00CD7E15">
            <w:pPr>
              <w:pStyle w:val="ListBullet"/>
            </w:pPr>
            <w:r w:rsidRPr="00CD7E15">
              <w:t>order forms</w:t>
            </w:r>
          </w:p>
          <w:p w:rsidR="00000000" w:rsidRPr="00CD7E15" w:rsidP="00CD7E15">
            <w:pPr>
              <w:pStyle w:val="ListBullet"/>
            </w:pPr>
            <w:r w:rsidRPr="00CD7E15">
              <w:t>product return slips</w:t>
            </w:r>
          </w:p>
          <w:p w:rsidR="00000000" w:rsidP="00CD7E15">
            <w:pPr>
              <w:pStyle w:val="ListBullet"/>
              <w:rPr>
                <w:lang w:val="en-NZ"/>
              </w:rPr>
            </w:pPr>
            <w:r w:rsidRPr="00CD7E15">
              <w:t>promotional materials.</w:t>
            </w:r>
          </w:p>
        </w:tc>
      </w:tr>
      <w:tr w:rsidTr="00CD7E1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BoldandItalics"/>
              </w:rPr>
              <w:t>Customers</w:t>
            </w:r>
            <w:r w:rsidRPr="00CD7E1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customers with routine or special requests</w:t>
            </w:r>
          </w:p>
          <w:p w:rsidR="00000000" w:rsidRPr="00CD7E15" w:rsidP="00CD7E15">
            <w:pPr>
              <w:pStyle w:val="ListBullet"/>
            </w:pPr>
            <w:r w:rsidRPr="00CD7E15">
              <w:t>internal and external contacts</w:t>
            </w:r>
          </w:p>
          <w:p w:rsidR="00000000" w:rsidRPr="00CD7E15" w:rsidP="00CD7E15">
            <w:pPr>
              <w:pStyle w:val="ListBullet"/>
            </w:pPr>
            <w:r w:rsidRPr="00CD7E15">
              <w:t>new or repeat contacts</w:t>
            </w:r>
          </w:p>
          <w:p w:rsidR="00000000" w:rsidRPr="00CD7E15" w:rsidP="00CD7E15">
            <w:pPr>
              <w:pStyle w:val="ListBullet"/>
            </w:pPr>
            <w:r w:rsidRPr="00CD7E15">
              <w:t>people from a range of social, cultural and ethnic backgrounds</w:t>
            </w:r>
          </w:p>
          <w:p w:rsidR="00000000" w:rsidP="00CD7E15">
            <w:pPr>
              <w:pStyle w:val="ListBullet"/>
              <w:rPr>
                <w:lang w:val="en-NZ"/>
              </w:rPr>
            </w:pPr>
            <w:r w:rsidRPr="00CD7E15">
              <w:t>people with varying physical and mental abilitie</w:t>
            </w:r>
            <w:r w:rsidRPr="00CD7E15">
              <w:t>s.</w:t>
            </w:r>
          </w:p>
        </w:tc>
      </w:tr>
      <w:tr w:rsidTr="00CD7E1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BoldandItalics"/>
              </w:rPr>
              <w:t>Numerical calculations</w:t>
            </w:r>
            <w:r w:rsidRPr="00CD7E1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addition and subtraction</w:t>
            </w:r>
          </w:p>
          <w:p w:rsidR="00000000" w:rsidRPr="00CD7E15" w:rsidP="00CD7E15">
            <w:pPr>
              <w:pStyle w:val="ListBullet"/>
            </w:pPr>
            <w:r w:rsidRPr="00CD7E15">
              <w:t>calculations of cash amounts and change</w:t>
            </w:r>
          </w:p>
          <w:p w:rsidR="00000000" w:rsidRPr="00CD7E15" w:rsidP="00CD7E15">
            <w:pPr>
              <w:pStyle w:val="ListBullet"/>
            </w:pPr>
            <w:r w:rsidRPr="00CD7E15">
              <w:t>calculations of discount amounts</w:t>
            </w:r>
          </w:p>
          <w:p w:rsidR="00000000" w:rsidRPr="00CD7E15" w:rsidP="00CD7E15">
            <w:pPr>
              <w:pStyle w:val="ListBullet"/>
            </w:pPr>
            <w:r w:rsidRPr="00CD7E15">
              <w:t>estimation of quantities</w:t>
            </w:r>
          </w:p>
          <w:p w:rsidR="00000000" w:rsidRPr="00CD7E15" w:rsidP="00CD7E15">
            <w:pPr>
              <w:pStyle w:val="ListBullet"/>
            </w:pPr>
            <w:r w:rsidRPr="00CD7E15">
              <w:t>measurement</w:t>
            </w:r>
          </w:p>
          <w:p w:rsidR="00000000" w:rsidRPr="00CD7E15" w:rsidP="00CD7E15">
            <w:pPr>
              <w:pStyle w:val="ListBullet"/>
            </w:pPr>
            <w:r w:rsidRPr="00CD7E15">
              <w:t>multiplication and division</w:t>
            </w:r>
          </w:p>
          <w:p w:rsidR="00000000" w:rsidP="00CD7E15">
            <w:pPr>
              <w:pStyle w:val="ListBullet"/>
              <w:rPr>
                <w:lang w:val="en-NZ"/>
              </w:rPr>
            </w:pPr>
            <w:r w:rsidRPr="00CD7E15">
              <w:t>percentages.</w:t>
            </w:r>
          </w:p>
        </w:tc>
      </w:tr>
      <w:tr w:rsidTr="00CD7E1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BoldandItalics"/>
              </w:rPr>
              <w:t>Point-of-sale transactions</w:t>
            </w:r>
            <w:r w:rsidRPr="00CD7E1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cheques</w:t>
            </w:r>
          </w:p>
          <w:p w:rsidR="00000000" w:rsidRPr="00CD7E15" w:rsidP="00CD7E15">
            <w:pPr>
              <w:pStyle w:val="ListBullet"/>
            </w:pPr>
            <w:r w:rsidRPr="00CD7E15">
              <w:t>credit cards and store cards</w:t>
            </w:r>
          </w:p>
          <w:p w:rsidR="00000000" w:rsidRPr="00CD7E15" w:rsidP="00CD7E15">
            <w:pPr>
              <w:pStyle w:val="ListBullet"/>
            </w:pPr>
            <w:r w:rsidRPr="00CD7E15">
              <w:t>EFTPOS</w:t>
            </w:r>
          </w:p>
          <w:p w:rsidR="00000000" w:rsidRPr="00CD7E15" w:rsidP="00CD7E15">
            <w:pPr>
              <w:pStyle w:val="ListBullet"/>
            </w:pPr>
            <w:r w:rsidRPr="00CD7E15">
              <w:t>exchanges</w:t>
            </w:r>
          </w:p>
          <w:p w:rsidR="00000000" w:rsidRPr="00CD7E15" w:rsidP="00CD7E15">
            <w:pPr>
              <w:pStyle w:val="ListBullet"/>
            </w:pPr>
            <w:r w:rsidRPr="00CD7E15">
              <w:t>gift vouchers</w:t>
            </w:r>
          </w:p>
          <w:p w:rsidR="00000000" w:rsidRPr="00CD7E15" w:rsidP="00CD7E15">
            <w:pPr>
              <w:pStyle w:val="ListBullet"/>
            </w:pPr>
            <w:r w:rsidRPr="00CD7E15">
              <w:t>lay-by</w:t>
            </w:r>
          </w:p>
          <w:p w:rsidR="00000000" w:rsidRPr="00CD7E15" w:rsidP="00CD7E15">
            <w:pPr>
              <w:pStyle w:val="ListBullet"/>
            </w:pPr>
            <w:r w:rsidRPr="00CD7E15">
              <w:t>returns</w:t>
            </w:r>
          </w:p>
          <w:p w:rsidR="00000000" w:rsidRPr="00CD7E15" w:rsidP="00CD7E15">
            <w:pPr>
              <w:pStyle w:val="ListBullet"/>
            </w:pPr>
            <w:r w:rsidRPr="00CD7E15">
              <w:t>smart cards</w:t>
            </w:r>
          </w:p>
          <w:p w:rsidR="00000000" w:rsidP="00CD7E15">
            <w:pPr>
              <w:pStyle w:val="ListBullet"/>
              <w:rPr>
                <w:lang w:val="en-NZ"/>
              </w:rPr>
            </w:pPr>
            <w:r w:rsidRPr="00CD7E15">
              <w:t>travellers cheques.</w:t>
            </w:r>
          </w:p>
        </w:tc>
      </w:tr>
      <w:tr w:rsidTr="00CD7E1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BoldandItalics"/>
              </w:rPr>
              <w:t>Point-of-sale equipment</w:t>
            </w:r>
            <w:r w:rsidRPr="00CD7E1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cash drawer</w:t>
            </w:r>
          </w:p>
          <w:p w:rsidR="00000000" w:rsidRPr="00CD7E15" w:rsidP="00CD7E15">
            <w:pPr>
              <w:pStyle w:val="ListBullet"/>
            </w:pPr>
            <w:r w:rsidRPr="00CD7E15">
              <w:t>cash register</w:t>
            </w:r>
          </w:p>
          <w:p w:rsidR="00000000" w:rsidRPr="00CD7E15" w:rsidP="00CD7E15">
            <w:pPr>
              <w:pStyle w:val="ListBullet"/>
            </w:pPr>
            <w:r w:rsidRPr="00CD7E15">
              <w:t>EFTPOS terminal</w:t>
            </w:r>
          </w:p>
          <w:p w:rsidR="00000000" w:rsidRPr="00CD7E15" w:rsidP="00CD7E15">
            <w:pPr>
              <w:pStyle w:val="ListBullet"/>
            </w:pPr>
            <w:r w:rsidRPr="00CD7E15">
              <w:t>electronic scales</w:t>
            </w:r>
          </w:p>
          <w:p w:rsidR="00000000" w:rsidRPr="00CD7E15" w:rsidP="00CD7E15">
            <w:pPr>
              <w:pStyle w:val="ListBullet"/>
            </w:pPr>
            <w:r w:rsidRPr="00CD7E15">
              <w:t>numerical display board</w:t>
            </w:r>
          </w:p>
          <w:p w:rsidR="00000000" w:rsidRPr="00CD7E15" w:rsidP="00CD7E15">
            <w:pPr>
              <w:pStyle w:val="ListBullet"/>
            </w:pPr>
            <w:r w:rsidRPr="00CD7E15">
              <w:t>scanner</w:t>
            </w:r>
          </w:p>
          <w:p w:rsidR="00000000" w:rsidP="00CD7E15">
            <w:pPr>
              <w:pStyle w:val="ListBullet"/>
              <w:rPr>
                <w:lang w:val="en-NZ"/>
              </w:rPr>
            </w:pPr>
            <w:r w:rsidRPr="00CD7E15">
              <w:t>security tagging.</w:t>
            </w:r>
          </w:p>
        </w:tc>
      </w:tr>
      <w:tr w:rsidTr="00CD7E1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BoldandItalics"/>
              </w:rPr>
              <w:t>Wrapping and packaging materials</w:t>
            </w:r>
            <w:r w:rsidRPr="00CD7E1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adhesive tape</w:t>
            </w:r>
          </w:p>
          <w:p w:rsidR="00000000" w:rsidRPr="00CD7E15" w:rsidP="00CD7E15">
            <w:pPr>
              <w:pStyle w:val="ListBullet"/>
            </w:pPr>
            <w:r w:rsidRPr="00CD7E15">
              <w:t>bags</w:t>
            </w:r>
          </w:p>
          <w:p w:rsidR="00000000" w:rsidRPr="00CD7E15" w:rsidP="00CD7E15">
            <w:pPr>
              <w:pStyle w:val="ListBullet"/>
            </w:pPr>
            <w:r w:rsidRPr="00CD7E15">
              <w:t>boxes</w:t>
            </w:r>
          </w:p>
          <w:p w:rsidR="00000000" w:rsidRPr="00CD7E15" w:rsidP="00CD7E15">
            <w:pPr>
              <w:pStyle w:val="ListBullet"/>
            </w:pPr>
            <w:r w:rsidRPr="00CD7E15">
              <w:t>bubble wrap</w:t>
            </w:r>
          </w:p>
          <w:p w:rsidR="00000000" w:rsidRPr="00CD7E15" w:rsidP="00CD7E15">
            <w:pPr>
              <w:pStyle w:val="ListBullet"/>
            </w:pPr>
            <w:r w:rsidRPr="00CD7E15">
              <w:t>gift wrapping</w:t>
            </w:r>
          </w:p>
          <w:p w:rsidR="00000000" w:rsidRPr="00CD7E15" w:rsidP="00CD7E15">
            <w:pPr>
              <w:pStyle w:val="ListBullet"/>
            </w:pPr>
            <w:r w:rsidRPr="00CD7E15">
              <w:t>paper</w:t>
            </w:r>
          </w:p>
          <w:p w:rsidR="00000000" w:rsidRPr="00CD7E15" w:rsidP="00CD7E15">
            <w:pPr>
              <w:pStyle w:val="ListBullet"/>
            </w:pPr>
            <w:r w:rsidRPr="00CD7E15">
              <w:t>ribbon</w:t>
            </w:r>
          </w:p>
          <w:p w:rsidR="00000000" w:rsidP="00CD7E15">
            <w:pPr>
              <w:pStyle w:val="ListBullet"/>
              <w:rPr>
                <w:lang w:val="en-NZ"/>
              </w:rPr>
            </w:pPr>
            <w:r w:rsidRPr="00CD7E15">
              <w:t>string.</w:t>
            </w:r>
          </w:p>
        </w:tc>
      </w:tr>
      <w:tr w:rsidTr="00CD7E1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D7E15">
            <w:pPr>
              <w:pStyle w:val="BodyText"/>
              <w:rPr>
                <w:lang w:val="en-NZ"/>
              </w:rPr>
            </w:pPr>
            <w:r w:rsidRPr="00CD7E15">
              <w:rPr>
                <w:rStyle w:val="BoldandItalics"/>
              </w:rPr>
              <w:t>Delivery methods</w:t>
            </w:r>
            <w:r w:rsidRPr="00CD7E1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CD7E15" w:rsidP="00CD7E15">
            <w:pPr>
              <w:pStyle w:val="ListBullet"/>
            </w:pPr>
            <w:r w:rsidRPr="00CD7E15">
              <w:t>courier</w:t>
            </w:r>
          </w:p>
          <w:p w:rsidR="00000000" w:rsidRPr="00CD7E15" w:rsidP="00CD7E15">
            <w:pPr>
              <w:pStyle w:val="ListBullet"/>
            </w:pPr>
            <w:r w:rsidRPr="00CD7E15">
              <w:t>domestic or international delivery</w:t>
            </w:r>
          </w:p>
          <w:p w:rsidR="00000000" w:rsidRPr="00CD7E15" w:rsidP="00CD7E15">
            <w:pPr>
              <w:pStyle w:val="ListBullet"/>
            </w:pPr>
            <w:r w:rsidRPr="00CD7E15">
              <w:t>freight</w:t>
            </w:r>
          </w:p>
          <w:p w:rsidR="00000000" w:rsidRPr="00CD7E15" w:rsidP="00CD7E15">
            <w:pPr>
              <w:pStyle w:val="ListBullet"/>
            </w:pPr>
            <w:r w:rsidRPr="00CD7E15">
              <w:t>parcel pick</w:t>
            </w:r>
            <w:r w:rsidRPr="00CD7E15">
              <w:noBreakHyphen/>
              <w:t>up</w:t>
            </w:r>
          </w:p>
          <w:p w:rsidR="00000000" w:rsidRPr="00CD7E15" w:rsidP="00CD7E15">
            <w:pPr>
              <w:pStyle w:val="ListBullet"/>
            </w:pPr>
            <w:r w:rsidRPr="00CD7E15">
              <w:t>post or express post.</w:t>
            </w:r>
          </w:p>
        </w:tc>
      </w:tr>
    </w:tbl>
    <w:p w:rsidR="00000000" w:rsidRPr="00CD7E15" w:rsidP="00CD7E15">
      <w:pPr>
        <w:pStyle w:val="BodyText"/>
      </w:pPr>
    </w:p>
    <w:p w:rsidR="00000000" w:rsidRPr="00CD7E15" w:rsidP="00CD7E15">
      <w:pPr>
        <w:pStyle w:val="AllowPageBreak"/>
      </w:pPr>
    </w:p>
    <w:p w:rsidR="00000000" w:rsidRPr="00CD7E15" w:rsidP="00CD7E15">
      <w:pPr>
        <w:pStyle w:val="Heading1"/>
      </w:pPr>
      <w:bookmarkStart w:id="12" w:name="O_393750"/>
      <w:bookmarkEnd w:id="12"/>
      <w:r w:rsidRPr="00CD7E15">
        <w:t>Unit Sector(s)</w:t>
      </w:r>
    </w:p>
    <w:p w:rsidR="00000000" w:rsidRPr="00CD7E15" w:rsidP="00CD7E15">
      <w:pPr>
        <w:pStyle w:val="BodyText"/>
      </w:pPr>
      <w:r w:rsidRPr="00CD7E15">
        <w:t>Cross-Sector</w:t>
      </w:r>
    </w:p>
    <w:p w:rsidR="00000000" w:rsidRPr="00CD7E15" w:rsidP="00CD7E15">
      <w:pPr>
        <w:pStyle w:val="AllowPageBreak"/>
      </w:pPr>
    </w:p>
    <w:p w:rsidR="00000000" w:rsidRPr="00CD7E15" w:rsidP="00CD7E15">
      <w:pPr>
        <w:pStyle w:val="Heading1"/>
      </w:pPr>
      <w:bookmarkStart w:id="13" w:name="O_406101"/>
      <w:bookmarkEnd w:id="13"/>
      <w:r w:rsidRPr="00CD7E15">
        <w:t>Competency Field</w:t>
      </w:r>
    </w:p>
    <w:p w:rsidR="00000000" w:rsidRPr="00CD7E15" w:rsidP="00CD7E15">
      <w:pPr>
        <w:pStyle w:val="BodyText"/>
      </w:pPr>
      <w:r w:rsidRPr="00CD7E15">
        <w:t>Client and Customer Service</w:t>
      </w:r>
    </w:p>
    <w:p w:rsidR="00000000" w:rsidRPr="00CD7E15" w:rsidP="00CD7E15"/>
    <w:sectPr w:rsidSect="00CD7E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B1D" w:rsidP="00945B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1D" w:rsidP="00CD7E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5B1D" w:rsidP="00CD7E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5B1D" w:rsidP="00CD7E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15" w:rsidRPr="00945B1D" w:rsidP="00945B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1D" w:rsidP="00CD7E15">
    <w:pPr>
      <w:pStyle w:val="Header"/>
      <w:framePr w:wrap="around"/>
    </w:pPr>
    <w:r>
      <w:fldChar w:fldCharType="begin"/>
    </w:r>
    <w:r>
      <w:instrText xml:space="preserve"> TITLE   \* MERGEFORMAT </w:instrText>
    </w:r>
    <w:r>
      <w:fldChar w:fldCharType="separate"/>
    </w:r>
    <w:r>
      <w:t>SIRXCCS201 Apply point-of-sale handling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45B1D" w:rsidP="00CD7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65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47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ED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E15"/>
    <w:pPr>
      <w:spacing w:before="360" w:after="60"/>
      <w:outlineLvl w:val="0"/>
    </w:pPr>
    <w:rPr>
      <w:sz w:val="32"/>
    </w:rPr>
  </w:style>
  <w:style w:type="paragraph" w:styleId="Heading2">
    <w:name w:val="heading 2"/>
    <w:basedOn w:val="HeadingBase"/>
    <w:next w:val="BodyText"/>
    <w:link w:val="Heading2Char"/>
    <w:qFormat/>
    <w:rsid w:val="00CD7E15"/>
    <w:pPr>
      <w:keepLines/>
      <w:spacing w:before="240" w:after="120"/>
      <w:outlineLvl w:val="1"/>
    </w:pPr>
    <w:rPr>
      <w:sz w:val="28"/>
      <w:szCs w:val="40"/>
    </w:rPr>
  </w:style>
  <w:style w:type="paragraph" w:styleId="Heading3">
    <w:name w:val="heading 3"/>
    <w:basedOn w:val="HeadingBase"/>
    <w:next w:val="BodyText"/>
    <w:link w:val="Heading3Char"/>
    <w:qFormat/>
    <w:rsid w:val="00CD7E15"/>
    <w:pPr>
      <w:spacing w:before="180" w:after="120"/>
      <w:outlineLvl w:val="2"/>
    </w:pPr>
    <w:rPr>
      <w:spacing w:val="-10"/>
      <w:kern w:val="32"/>
    </w:rPr>
  </w:style>
  <w:style w:type="paragraph" w:styleId="Heading4">
    <w:name w:val="heading 4"/>
    <w:basedOn w:val="HeadingBase"/>
    <w:next w:val="BodyText"/>
    <w:link w:val="Heading4Char"/>
    <w:qFormat/>
    <w:rsid w:val="00CD7E15"/>
    <w:pPr>
      <w:spacing w:before="160" w:after="120"/>
      <w:outlineLvl w:val="3"/>
    </w:pPr>
    <w:rPr>
      <w:sz w:val="22"/>
    </w:rPr>
  </w:style>
  <w:style w:type="paragraph" w:styleId="Heading5">
    <w:name w:val="heading 5"/>
    <w:basedOn w:val="HeadingBase"/>
    <w:next w:val="Normal"/>
    <w:link w:val="Heading5Char"/>
    <w:qFormat/>
    <w:rsid w:val="00CD7E15"/>
    <w:pPr>
      <w:spacing w:before="80"/>
      <w:outlineLvl w:val="4"/>
    </w:pPr>
    <w:rPr>
      <w:color w:val="918585"/>
      <w:sz w:val="20"/>
    </w:rPr>
  </w:style>
  <w:style w:type="paragraph" w:styleId="Heading6">
    <w:name w:val="heading 6"/>
    <w:basedOn w:val="HeadingBase"/>
    <w:next w:val="Normal"/>
    <w:link w:val="Heading6Char"/>
    <w:qFormat/>
    <w:rsid w:val="00CD7E15"/>
    <w:pPr>
      <w:spacing w:before="60"/>
      <w:outlineLvl w:val="5"/>
    </w:pPr>
    <w:rPr>
      <w:color w:val="918585"/>
      <w:sz w:val="20"/>
    </w:rPr>
  </w:style>
  <w:style w:type="paragraph" w:styleId="Heading7">
    <w:name w:val="heading 7"/>
    <w:basedOn w:val="Normal"/>
    <w:next w:val="Normal"/>
    <w:link w:val="Heading7Char"/>
    <w:qFormat/>
    <w:rsid w:val="00CD7E15"/>
    <w:pPr>
      <w:ind w:left="720"/>
      <w:outlineLvl w:val="6"/>
    </w:pPr>
    <w:rPr>
      <w:i/>
    </w:rPr>
  </w:style>
  <w:style w:type="paragraph" w:styleId="Heading8">
    <w:name w:val="heading 8"/>
    <w:basedOn w:val="Normal"/>
    <w:next w:val="Normal"/>
    <w:link w:val="Heading8Char"/>
    <w:qFormat/>
    <w:rsid w:val="00CD7E15"/>
    <w:pPr>
      <w:ind w:left="720"/>
      <w:outlineLvl w:val="7"/>
    </w:pPr>
    <w:rPr>
      <w:i/>
    </w:rPr>
  </w:style>
  <w:style w:type="paragraph" w:styleId="Heading9">
    <w:name w:val="heading 9"/>
    <w:basedOn w:val="Normal"/>
    <w:next w:val="Normal"/>
    <w:link w:val="Heading9Char"/>
    <w:qFormat/>
    <w:rsid w:val="00CD7E15"/>
    <w:pPr>
      <w:ind w:left="720"/>
      <w:outlineLvl w:val="8"/>
    </w:pPr>
    <w:rPr>
      <w:i/>
    </w:rPr>
  </w:style>
  <w:style w:type="character" w:default="1" w:styleId="DefaultParagraphFont">
    <w:name w:val="Default Paragraph Font"/>
    <w:uiPriority w:val="1"/>
    <w:unhideWhenUsed/>
    <w:rsid w:val="00CD7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E15"/>
  </w:style>
  <w:style w:type="character" w:customStyle="1" w:styleId="Heading1Char">
    <w:name w:val="Heading 1 Char"/>
    <w:basedOn w:val="DefaultParagraphFont"/>
    <w:link w:val="Heading1"/>
    <w:rsid w:val="00CD7E15"/>
    <w:rPr>
      <w:rFonts w:ascii="Times New Roman" w:eastAsia="Times New Roman" w:hAnsi="Times New Roman" w:cs="Times New Roman"/>
      <w:b/>
      <w:sz w:val="32"/>
      <w:szCs w:val="20"/>
      <w:lang w:eastAsia="en-US"/>
    </w:rPr>
  </w:style>
  <w:style w:type="paragraph" w:styleId="BodyText">
    <w:name w:val="Body Text"/>
    <w:basedOn w:val="Normal"/>
    <w:link w:val="BodyTextChar"/>
    <w:rsid w:val="00CD7E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7E15"/>
    <w:rPr>
      <w:rFonts w:ascii="Times New Roman" w:eastAsia="Times New Roman" w:hAnsi="Times New Roman" w:cs="Times New Roman"/>
      <w:sz w:val="24"/>
      <w:lang w:eastAsia="en-US"/>
    </w:rPr>
  </w:style>
  <w:style w:type="paragraph" w:styleId="Footer">
    <w:name w:val="footer"/>
    <w:basedOn w:val="Normal"/>
    <w:link w:val="FooterChar"/>
    <w:rsid w:val="00CD7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E15"/>
    <w:rPr>
      <w:rFonts w:ascii="Times New Roman" w:eastAsia="Times New Roman" w:hAnsi="Times New Roman" w:cs="Times New Roman"/>
      <w:sz w:val="16"/>
      <w:lang w:eastAsia="en-US"/>
    </w:rPr>
  </w:style>
  <w:style w:type="paragraph" w:styleId="List">
    <w:name w:val="List"/>
    <w:basedOn w:val="BodyText"/>
    <w:next w:val="BodyText"/>
    <w:rsid w:val="00CD7E15"/>
    <w:pPr>
      <w:tabs>
        <w:tab w:val="left" w:pos="340"/>
      </w:tabs>
      <w:spacing w:before="60" w:after="60"/>
      <w:ind w:left="340" w:hanging="340"/>
    </w:pPr>
  </w:style>
  <w:style w:type="paragraph" w:styleId="ListBullet">
    <w:name w:val="List Bullet"/>
    <w:basedOn w:val="List"/>
    <w:rsid w:val="00CD7E15"/>
    <w:pPr>
      <w:numPr>
        <w:numId w:val="13"/>
      </w:numPr>
      <w:tabs>
        <w:tab w:val="clear" w:pos="340"/>
      </w:tabs>
      <w:spacing w:before="40" w:after="40"/>
    </w:pPr>
  </w:style>
  <w:style w:type="character" w:customStyle="1" w:styleId="SpecialBold">
    <w:name w:val="Special Bold"/>
    <w:basedOn w:val="DefaultParagraphFont"/>
    <w:rsid w:val="00CD7E15"/>
    <w:rPr>
      <w:b/>
      <w:spacing w:val="0"/>
    </w:rPr>
  </w:style>
  <w:style w:type="paragraph" w:styleId="ListBullet2">
    <w:name w:val="List Bullet 2"/>
    <w:basedOn w:val="List2"/>
    <w:rsid w:val="00CD7E15"/>
    <w:pPr>
      <w:numPr>
        <w:numId w:val="14"/>
      </w:numPr>
      <w:tabs>
        <w:tab w:val="clear" w:pos="680"/>
      </w:tabs>
    </w:pPr>
  </w:style>
  <w:style w:type="paragraph" w:customStyle="1" w:styleId="SuperHeading">
    <w:name w:val="SuperHeading"/>
    <w:basedOn w:val="Normal"/>
    <w:rsid w:val="00CD7E15"/>
    <w:pPr>
      <w:spacing w:before="240" w:after="120"/>
      <w:outlineLvl w:val="0"/>
    </w:pPr>
    <w:rPr>
      <w:rFonts w:ascii="Times New Roman" w:hAnsi="Times New Roman"/>
      <w:b/>
      <w:sz w:val="28"/>
    </w:rPr>
  </w:style>
  <w:style w:type="paragraph" w:customStyle="1" w:styleId="AllowPageBreak">
    <w:name w:val="AllowPageBreak"/>
    <w:rsid w:val="00CD7E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7E15"/>
    <w:rPr>
      <w:b/>
      <w:i/>
      <w:u w:val="none"/>
    </w:rPr>
  </w:style>
  <w:style w:type="character" w:customStyle="1" w:styleId="Heading2Char">
    <w:name w:val="Heading 2 Char"/>
    <w:basedOn w:val="DefaultParagraphFont"/>
    <w:link w:val="Heading2"/>
    <w:rsid w:val="00CD7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E15"/>
    <w:rPr>
      <w:rFonts w:ascii="Courier New" w:eastAsia="Times New Roman" w:hAnsi="Courier New" w:cs="Times New Roman"/>
      <w:i/>
      <w:szCs w:val="20"/>
      <w:lang w:eastAsia="en-US"/>
    </w:rPr>
  </w:style>
  <w:style w:type="paragraph" w:customStyle="1" w:styleId="HeadingBase">
    <w:name w:val="Heading Base"/>
    <w:rsid w:val="00CD7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E15"/>
    <w:pPr>
      <w:tabs>
        <w:tab w:val="right" w:leader="dot" w:pos="9072"/>
      </w:tabs>
      <w:ind w:left="567"/>
    </w:pPr>
    <w:rPr>
      <w:szCs w:val="22"/>
    </w:rPr>
  </w:style>
  <w:style w:type="paragraph" w:customStyle="1" w:styleId="TOCBase">
    <w:name w:val="TOC Base"/>
    <w:rsid w:val="00CD7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E15"/>
    <w:pPr>
      <w:tabs>
        <w:tab w:val="right" w:leader="dot" w:pos="9072"/>
      </w:tabs>
      <w:spacing w:before="40" w:after="40"/>
      <w:ind w:left="284"/>
    </w:pPr>
    <w:rPr>
      <w:rFonts w:ascii="Times New Roman" w:hAnsi="Times New Roman"/>
    </w:rPr>
  </w:style>
  <w:style w:type="paragraph" w:styleId="TOC1">
    <w:name w:val="toc 1"/>
    <w:basedOn w:val="TOCBase"/>
    <w:next w:val="Normal"/>
    <w:rsid w:val="00CD7E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7E15"/>
    <w:pPr>
      <w:spacing w:before="5040"/>
      <w:jc w:val="center"/>
    </w:pPr>
    <w:rPr>
      <w:sz w:val="48"/>
      <w:szCs w:val="72"/>
      <w:lang w:val="en-US"/>
    </w:rPr>
  </w:style>
  <w:style w:type="character" w:customStyle="1" w:styleId="TitleChar">
    <w:name w:val="Title Char"/>
    <w:basedOn w:val="DefaultParagraphFont"/>
    <w:link w:val="Title"/>
    <w:rsid w:val="00CD7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E15"/>
    <w:pPr>
      <w:tabs>
        <w:tab w:val="left" w:pos="3600"/>
        <w:tab w:val="left" w:pos="3958"/>
      </w:tabs>
    </w:pPr>
  </w:style>
  <w:style w:type="paragraph" w:customStyle="1" w:styleId="Note">
    <w:name w:val="Note"/>
    <w:basedOn w:val="BodyText"/>
    <w:rsid w:val="00CD7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E15"/>
    <w:pPr>
      <w:framePr w:wrap="auto" w:hAnchor="text" w:y="6049"/>
    </w:pPr>
    <w:rPr>
      <w:color w:val="000000"/>
      <w:sz w:val="40"/>
    </w:rPr>
  </w:style>
  <w:style w:type="paragraph" w:customStyle="1" w:styleId="TOCTitle">
    <w:name w:val="TOCTitle"/>
    <w:basedOn w:val="Heading1"/>
    <w:rsid w:val="00CD7E15"/>
    <w:pPr>
      <w:spacing w:after="240"/>
      <w:jc w:val="center"/>
      <w:outlineLvl w:val="9"/>
    </w:pPr>
    <w:rPr>
      <w:caps/>
    </w:rPr>
  </w:style>
  <w:style w:type="paragraph" w:customStyle="1" w:styleId="Version">
    <w:name w:val="Version"/>
    <w:rsid w:val="00CD7E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E15"/>
    <w:pPr>
      <w:keepNext w:val="0"/>
      <w:tabs>
        <w:tab w:val="right" w:pos="4176"/>
      </w:tabs>
      <w:ind w:left="198" w:hanging="198"/>
    </w:pPr>
    <w:rPr>
      <w:rFonts w:ascii="Garamond" w:hAnsi="Garamond"/>
    </w:rPr>
  </w:style>
  <w:style w:type="paragraph" w:styleId="IndexHeading">
    <w:name w:val="index heading"/>
    <w:basedOn w:val="Normal"/>
    <w:next w:val="Index1"/>
    <w:semiHidden/>
    <w:rsid w:val="00CD7E15"/>
    <w:pPr>
      <w:spacing w:before="120" w:after="120"/>
    </w:pPr>
    <w:rPr>
      <w:rFonts w:ascii="Arial" w:hAnsi="Arial"/>
      <w:b/>
      <w:color w:val="918585"/>
      <w:sz w:val="24"/>
    </w:rPr>
  </w:style>
  <w:style w:type="paragraph" w:styleId="Header">
    <w:name w:val="header"/>
    <w:basedOn w:val="Normal"/>
    <w:link w:val="HeaderChar"/>
    <w:rsid w:val="00CD7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E15"/>
    <w:rPr>
      <w:rFonts w:ascii="Times New Roman" w:eastAsia="Times New Roman" w:hAnsi="Times New Roman" w:cs="Times New Roman"/>
      <w:sz w:val="16"/>
      <w:szCs w:val="20"/>
      <w:lang w:val="en-GB" w:eastAsia="en-US"/>
    </w:rPr>
  </w:style>
  <w:style w:type="paragraph" w:customStyle="1" w:styleId="Chapter">
    <w:name w:val="Chapter"/>
    <w:basedOn w:val="Normal"/>
    <w:rsid w:val="00CD7E15"/>
    <w:pPr>
      <w:spacing w:before="240"/>
    </w:pPr>
    <w:rPr>
      <w:rFonts w:ascii="Times New Roman" w:hAnsi="Times New Roman"/>
      <w:smallCaps/>
      <w:spacing w:val="80"/>
      <w:sz w:val="28"/>
    </w:rPr>
  </w:style>
  <w:style w:type="paragraph" w:customStyle="1" w:styleId="InChapter">
    <w:name w:val="InChapter"/>
    <w:basedOn w:val="Heading3"/>
    <w:rsid w:val="00CD7E15"/>
    <w:pPr>
      <w:spacing w:after="240"/>
      <w:outlineLvl w:val="9"/>
    </w:pPr>
    <w:rPr>
      <w:noProof/>
    </w:rPr>
  </w:style>
  <w:style w:type="paragraph" w:styleId="Index2">
    <w:name w:val="index 2"/>
    <w:basedOn w:val="Normal"/>
    <w:next w:val="Normal"/>
    <w:semiHidden/>
    <w:rsid w:val="00CD7E15"/>
    <w:pPr>
      <w:tabs>
        <w:tab w:val="right" w:pos="4176"/>
      </w:tabs>
      <w:ind w:left="568" w:hanging="284"/>
    </w:pPr>
    <w:rPr>
      <w:rFonts w:ascii="Garamond" w:hAnsi="Garamond"/>
    </w:rPr>
  </w:style>
  <w:style w:type="paragraph" w:customStyle="1" w:styleId="Byline">
    <w:name w:val="Byline"/>
    <w:rsid w:val="00CD7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E15"/>
    <w:pPr>
      <w:tabs>
        <w:tab w:val="clear" w:pos="3600"/>
        <w:tab w:val="clear" w:pos="3958"/>
      </w:tabs>
      <w:jc w:val="right"/>
    </w:pPr>
  </w:style>
  <w:style w:type="character" w:styleId="Emphasis">
    <w:name w:val="Emphasis"/>
    <w:basedOn w:val="DefaultParagraphFont"/>
    <w:qFormat/>
    <w:rsid w:val="00CD7E15"/>
    <w:rPr>
      <w:i/>
    </w:rPr>
  </w:style>
  <w:style w:type="paragraph" w:styleId="Caption">
    <w:name w:val="caption"/>
    <w:basedOn w:val="BodyText"/>
    <w:next w:val="Normal"/>
    <w:qFormat/>
    <w:rsid w:val="00CD7E15"/>
    <w:pPr>
      <w:framePr w:w="2268" w:hSpace="181" w:vSpace="181" w:wrap="around" w:vAnchor="text" w:hAnchor="page" w:x="1135" w:y="285" w:anchorLock="1"/>
    </w:pPr>
    <w:rPr>
      <w:i/>
    </w:rPr>
  </w:style>
  <w:style w:type="paragraph" w:customStyle="1" w:styleId="MiniTOCTitle">
    <w:name w:val="MiniTOCTitle"/>
    <w:basedOn w:val="Heading4"/>
    <w:rsid w:val="00CD7E15"/>
    <w:pPr>
      <w:spacing w:before="240"/>
      <w:outlineLvl w:val="9"/>
    </w:pPr>
    <w:rPr>
      <w:noProof/>
      <w:sz w:val="24"/>
    </w:rPr>
  </w:style>
  <w:style w:type="paragraph" w:customStyle="1" w:styleId="MiniTOCItem">
    <w:name w:val="MiniTOCItem"/>
    <w:basedOn w:val="ListBullet"/>
    <w:rsid w:val="00CD7E15"/>
    <w:pPr>
      <w:numPr>
        <w:numId w:val="0"/>
      </w:numPr>
      <w:tabs>
        <w:tab w:val="right" w:leader="dot" w:pos="6521"/>
      </w:tabs>
      <w:spacing w:before="0" w:after="0"/>
    </w:pPr>
  </w:style>
  <w:style w:type="paragraph" w:customStyle="1" w:styleId="TOFTitle">
    <w:name w:val="TOFTitle"/>
    <w:basedOn w:val="TOCTitle"/>
    <w:rsid w:val="00CD7E15"/>
  </w:style>
  <w:style w:type="paragraph" w:styleId="TableofFigures">
    <w:name w:val="table of figures"/>
    <w:basedOn w:val="Normal"/>
    <w:next w:val="Normal"/>
    <w:semiHidden/>
    <w:rsid w:val="00CD7E15"/>
    <w:pPr>
      <w:tabs>
        <w:tab w:val="right" w:leader="dot" w:pos="9072"/>
      </w:tabs>
      <w:ind w:left="970" w:hanging="403"/>
    </w:pPr>
    <w:rPr>
      <w:rFonts w:ascii="Times New Roman" w:hAnsi="Times New Roman"/>
      <w:b/>
    </w:rPr>
  </w:style>
  <w:style w:type="paragraph" w:styleId="ListNumber">
    <w:name w:val="List Number"/>
    <w:basedOn w:val="List"/>
    <w:rsid w:val="00CD7E15"/>
    <w:pPr>
      <w:numPr>
        <w:numId w:val="11"/>
      </w:numPr>
    </w:pPr>
  </w:style>
  <w:style w:type="character" w:customStyle="1" w:styleId="WingdingSymbols">
    <w:name w:val="Wingding Symbols"/>
    <w:rsid w:val="00CD7E15"/>
    <w:rPr>
      <w:rFonts w:ascii="Wingdings" w:hAnsi="Wingdings"/>
    </w:rPr>
  </w:style>
  <w:style w:type="paragraph" w:customStyle="1" w:styleId="TableHeading">
    <w:name w:val="Table Heading"/>
    <w:basedOn w:val="HeadingBase"/>
    <w:rsid w:val="00CD7E15"/>
    <w:pPr>
      <w:keepLines/>
      <w:pBdr>
        <w:bottom w:val="single" w:sz="6" w:space="1" w:color="918585"/>
      </w:pBdr>
      <w:spacing w:before="240"/>
    </w:pPr>
  </w:style>
  <w:style w:type="character" w:customStyle="1" w:styleId="HotSpot">
    <w:name w:val="HotSpot"/>
    <w:rsid w:val="00CD7E15"/>
    <w:rPr>
      <w:color w:val="0033CC"/>
      <w:u w:val="none"/>
    </w:rPr>
  </w:style>
  <w:style w:type="paragraph" w:customStyle="1" w:styleId="BodyTextRight">
    <w:name w:val="Body Text Right"/>
    <w:basedOn w:val="BodyText"/>
    <w:rsid w:val="00CD7E15"/>
    <w:pPr>
      <w:spacing w:before="0" w:after="0"/>
      <w:jc w:val="right"/>
    </w:pPr>
  </w:style>
  <w:style w:type="paragraph" w:styleId="Index3">
    <w:name w:val="index 3"/>
    <w:basedOn w:val="ListNumber2"/>
    <w:next w:val="Normal"/>
    <w:semiHidden/>
    <w:rsid w:val="00CD7E15"/>
    <w:pPr>
      <w:numPr>
        <w:numId w:val="0"/>
      </w:numPr>
      <w:tabs>
        <w:tab w:val="right" w:leader="dot" w:pos="4176"/>
      </w:tabs>
    </w:pPr>
  </w:style>
  <w:style w:type="paragraph" w:styleId="ListNumber2">
    <w:name w:val="List Number 2"/>
    <w:basedOn w:val="List2"/>
    <w:rsid w:val="00CD7E15"/>
    <w:pPr>
      <w:numPr>
        <w:numId w:val="10"/>
      </w:numPr>
      <w:tabs>
        <w:tab w:val="clear" w:pos="1060"/>
      </w:tabs>
    </w:pPr>
  </w:style>
  <w:style w:type="paragraph" w:customStyle="1" w:styleId="MarginNote">
    <w:name w:val="Margin Note"/>
    <w:basedOn w:val="BodyText"/>
    <w:rsid w:val="00CD7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E15"/>
    <w:rPr>
      <w:sz w:val="32"/>
    </w:rPr>
  </w:style>
  <w:style w:type="paragraph" w:customStyle="1" w:styleId="HeadingProcedure">
    <w:name w:val="Heading Procedure"/>
    <w:basedOn w:val="HeadingBase"/>
    <w:next w:val="Normal"/>
    <w:rsid w:val="00CD7E15"/>
    <w:pPr>
      <w:tabs>
        <w:tab w:val="left" w:pos="0"/>
      </w:tabs>
      <w:spacing w:before="120" w:after="60"/>
    </w:pPr>
    <w:rPr>
      <w:i/>
      <w:color w:val="918585"/>
      <w:sz w:val="22"/>
    </w:rPr>
  </w:style>
  <w:style w:type="paragraph" w:customStyle="1" w:styleId="TableBodyText">
    <w:name w:val="Table Body Text"/>
    <w:basedOn w:val="BodyText"/>
    <w:rsid w:val="00CD7E15"/>
    <w:pPr>
      <w:spacing w:before="60" w:after="60"/>
    </w:pPr>
  </w:style>
  <w:style w:type="paragraph" w:styleId="ListContinue">
    <w:name w:val="List Continue"/>
    <w:basedOn w:val="List"/>
    <w:rsid w:val="00CD7E15"/>
    <w:pPr>
      <w:ind w:firstLine="0"/>
    </w:pPr>
  </w:style>
  <w:style w:type="paragraph" w:customStyle="1" w:styleId="ListNote">
    <w:name w:val="List Note"/>
    <w:basedOn w:val="List"/>
    <w:rsid w:val="00CD7E15"/>
    <w:pPr>
      <w:pBdr>
        <w:top w:val="single" w:sz="6" w:space="2" w:color="918585"/>
        <w:bottom w:val="single" w:sz="6" w:space="2" w:color="918585"/>
      </w:pBdr>
      <w:tabs>
        <w:tab w:val="left" w:pos="1021"/>
      </w:tabs>
      <w:ind w:firstLine="0"/>
    </w:pPr>
  </w:style>
  <w:style w:type="paragraph" w:customStyle="1" w:styleId="Warning">
    <w:name w:val="Warning"/>
    <w:basedOn w:val="BodyText"/>
    <w:rsid w:val="00CD7E15"/>
    <w:pPr>
      <w:shd w:val="clear" w:color="auto" w:fill="D9D9D9"/>
      <w:tabs>
        <w:tab w:val="left" w:pos="992"/>
      </w:tabs>
      <w:ind w:left="119" w:right="119"/>
    </w:pPr>
    <w:rPr>
      <w:sz w:val="20"/>
    </w:rPr>
  </w:style>
  <w:style w:type="paragraph" w:customStyle="1" w:styleId="MarginIcons">
    <w:name w:val="Margin Icons"/>
    <w:basedOn w:val="BodyText"/>
    <w:rsid w:val="00CD7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E15"/>
    <w:rPr>
      <w:rFonts w:ascii="Courier New" w:hAnsi="Courier New"/>
    </w:rPr>
  </w:style>
  <w:style w:type="paragraph" w:customStyle="1" w:styleId="NoteBullet">
    <w:name w:val="Note Bullet"/>
    <w:basedOn w:val="Note"/>
    <w:rsid w:val="00CD7E15"/>
    <w:pPr>
      <w:tabs>
        <w:tab w:val="clear" w:pos="680"/>
      </w:tabs>
      <w:spacing w:before="60" w:after="60"/>
    </w:pPr>
  </w:style>
  <w:style w:type="paragraph" w:customStyle="1" w:styleId="SubHeading2">
    <w:name w:val="SubHeading2"/>
    <w:basedOn w:val="HeadingBase"/>
    <w:rsid w:val="00CD7E15"/>
    <w:pPr>
      <w:spacing w:before="240" w:after="60"/>
    </w:pPr>
    <w:rPr>
      <w:sz w:val="20"/>
    </w:rPr>
  </w:style>
  <w:style w:type="paragraph" w:customStyle="1" w:styleId="SubHeading1">
    <w:name w:val="SubHeading1"/>
    <w:basedOn w:val="HeadingBase"/>
    <w:rsid w:val="00CD7E15"/>
    <w:pPr>
      <w:spacing w:before="240" w:after="60"/>
    </w:pPr>
    <w:rPr>
      <w:color w:val="918585"/>
      <w:sz w:val="22"/>
    </w:rPr>
  </w:style>
  <w:style w:type="paragraph" w:customStyle="1" w:styleId="SideHeading">
    <w:name w:val="Side Heading"/>
    <w:basedOn w:val="HeadingBase"/>
    <w:rsid w:val="00CD7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E15"/>
    <w:pPr>
      <w:numPr>
        <w:numId w:val="12"/>
      </w:numPr>
    </w:pPr>
  </w:style>
  <w:style w:type="paragraph" w:styleId="PlainText">
    <w:name w:val="Plain Text"/>
    <w:basedOn w:val="Normal"/>
    <w:link w:val="PlainTextChar"/>
    <w:rsid w:val="00CD7E15"/>
    <w:rPr>
      <w:sz w:val="20"/>
    </w:rPr>
  </w:style>
  <w:style w:type="character" w:customStyle="1" w:styleId="PlainTextChar">
    <w:name w:val="Plain Text Char"/>
    <w:basedOn w:val="DefaultParagraphFont"/>
    <w:link w:val="PlainText"/>
    <w:rsid w:val="00CD7E15"/>
    <w:rPr>
      <w:rFonts w:ascii="Courier New" w:eastAsia="Times New Roman" w:hAnsi="Courier New" w:cs="Times New Roman"/>
      <w:sz w:val="20"/>
      <w:szCs w:val="20"/>
      <w:lang w:eastAsia="en-US"/>
    </w:rPr>
  </w:style>
  <w:style w:type="character" w:customStyle="1" w:styleId="MenuOption">
    <w:name w:val="Menu Option"/>
    <w:basedOn w:val="DefaultParagraphFont"/>
    <w:rsid w:val="00CD7E15"/>
    <w:rPr>
      <w:b/>
      <w:smallCaps/>
    </w:rPr>
  </w:style>
  <w:style w:type="paragraph" w:customStyle="1" w:styleId="TableListNumber">
    <w:name w:val="Table List Number"/>
    <w:basedOn w:val="ListNumber"/>
    <w:rsid w:val="00CD7E15"/>
    <w:pPr>
      <w:numPr>
        <w:numId w:val="0"/>
      </w:numPr>
    </w:pPr>
  </w:style>
  <w:style w:type="paragraph" w:styleId="TOC4">
    <w:name w:val="toc 4"/>
    <w:basedOn w:val="TOCBase"/>
    <w:next w:val="Normal"/>
    <w:semiHidden/>
    <w:rsid w:val="00CD7E15"/>
    <w:pPr>
      <w:tabs>
        <w:tab w:val="right" w:leader="dot" w:pos="9071"/>
      </w:tabs>
      <w:ind w:left="1701"/>
    </w:pPr>
  </w:style>
  <w:style w:type="paragraph" w:customStyle="1" w:styleId="ListAlpha">
    <w:name w:val="List Alpha"/>
    <w:basedOn w:val="List"/>
    <w:rsid w:val="00CD7E15"/>
    <w:pPr>
      <w:numPr>
        <w:numId w:val="9"/>
      </w:numPr>
    </w:pPr>
  </w:style>
  <w:style w:type="paragraph" w:customStyle="1" w:styleId="ListAlpha2">
    <w:name w:val="List Alpha 2"/>
    <w:basedOn w:val="List2"/>
    <w:rsid w:val="00CD7E15"/>
    <w:pPr>
      <w:numPr>
        <w:numId w:val="8"/>
      </w:numPr>
    </w:pPr>
  </w:style>
  <w:style w:type="paragraph" w:styleId="List2">
    <w:name w:val="List 2"/>
    <w:basedOn w:val="BodyText"/>
    <w:rsid w:val="00CD7E15"/>
    <w:pPr>
      <w:tabs>
        <w:tab w:val="left" w:pos="680"/>
      </w:tabs>
      <w:spacing w:before="60" w:after="60"/>
      <w:ind w:left="680" w:hanging="340"/>
    </w:pPr>
  </w:style>
  <w:style w:type="paragraph" w:styleId="List3">
    <w:name w:val="List 3"/>
    <w:basedOn w:val="BodyText"/>
    <w:rsid w:val="00CD7E15"/>
    <w:pPr>
      <w:tabs>
        <w:tab w:val="left" w:pos="1021"/>
      </w:tabs>
      <w:spacing w:before="60" w:after="60"/>
      <w:ind w:left="1020" w:hanging="340"/>
    </w:pPr>
  </w:style>
  <w:style w:type="paragraph" w:styleId="List4">
    <w:name w:val="List 4"/>
    <w:basedOn w:val="BodyText"/>
    <w:rsid w:val="00CD7E15"/>
    <w:pPr>
      <w:tabs>
        <w:tab w:val="left" w:pos="1361"/>
      </w:tabs>
      <w:spacing w:before="60" w:after="60"/>
      <w:ind w:left="1361" w:hanging="340"/>
    </w:pPr>
  </w:style>
  <w:style w:type="paragraph" w:styleId="List5">
    <w:name w:val="List 5"/>
    <w:basedOn w:val="BodyText"/>
    <w:rsid w:val="00CD7E15"/>
    <w:pPr>
      <w:tabs>
        <w:tab w:val="left" w:pos="1701"/>
      </w:tabs>
      <w:spacing w:before="60" w:after="60"/>
      <w:ind w:left="1701" w:hanging="340"/>
    </w:pPr>
  </w:style>
  <w:style w:type="paragraph" w:styleId="ListBullet3">
    <w:name w:val="List Bullet 3"/>
    <w:basedOn w:val="List3"/>
    <w:rsid w:val="00CD7E15"/>
    <w:pPr>
      <w:numPr>
        <w:numId w:val="15"/>
      </w:numPr>
      <w:tabs>
        <w:tab w:val="clear" w:pos="1021"/>
      </w:tabs>
      <w:ind w:left="1037" w:hanging="357"/>
    </w:pPr>
  </w:style>
  <w:style w:type="paragraph" w:styleId="ListBullet4">
    <w:name w:val="List Bullet 4"/>
    <w:basedOn w:val="List4"/>
    <w:rsid w:val="00CD7E15"/>
    <w:pPr>
      <w:numPr>
        <w:numId w:val="3"/>
      </w:numPr>
    </w:pPr>
  </w:style>
  <w:style w:type="paragraph" w:styleId="ListBullet5">
    <w:name w:val="List Bullet 5"/>
    <w:basedOn w:val="List5"/>
    <w:rsid w:val="00CD7E15"/>
    <w:pPr>
      <w:numPr>
        <w:numId w:val="4"/>
      </w:numPr>
    </w:pPr>
  </w:style>
  <w:style w:type="paragraph" w:styleId="ListContinue2">
    <w:name w:val="List Continue 2"/>
    <w:basedOn w:val="List2"/>
    <w:rsid w:val="00CD7E15"/>
    <w:pPr>
      <w:ind w:firstLine="0"/>
    </w:pPr>
  </w:style>
  <w:style w:type="paragraph" w:styleId="ListContinue3">
    <w:name w:val="List Continue 3"/>
    <w:basedOn w:val="List3"/>
    <w:rsid w:val="00CD7E15"/>
    <w:pPr>
      <w:ind w:left="1021" w:firstLine="0"/>
    </w:pPr>
  </w:style>
  <w:style w:type="paragraph" w:styleId="ListContinue4">
    <w:name w:val="List Continue 4"/>
    <w:basedOn w:val="List4"/>
    <w:rsid w:val="00CD7E15"/>
    <w:pPr>
      <w:ind w:firstLine="0"/>
    </w:pPr>
  </w:style>
  <w:style w:type="paragraph" w:styleId="ListContinue5">
    <w:name w:val="List Continue 5"/>
    <w:basedOn w:val="List5"/>
    <w:rsid w:val="00CD7E15"/>
    <w:pPr>
      <w:ind w:firstLine="0"/>
    </w:pPr>
  </w:style>
  <w:style w:type="paragraph" w:styleId="ListNumber3">
    <w:name w:val="List Number 3"/>
    <w:basedOn w:val="List3"/>
    <w:rsid w:val="00CD7E15"/>
    <w:pPr>
      <w:numPr>
        <w:numId w:val="5"/>
      </w:numPr>
    </w:pPr>
  </w:style>
  <w:style w:type="paragraph" w:styleId="ListNumber4">
    <w:name w:val="List Number 4"/>
    <w:basedOn w:val="List4"/>
    <w:rsid w:val="00CD7E15"/>
    <w:pPr>
      <w:numPr>
        <w:numId w:val="6"/>
      </w:numPr>
    </w:pPr>
  </w:style>
  <w:style w:type="paragraph" w:styleId="ListNumber5">
    <w:name w:val="List Number 5"/>
    <w:basedOn w:val="List5"/>
    <w:rsid w:val="00CD7E15"/>
    <w:pPr>
      <w:numPr>
        <w:numId w:val="7"/>
      </w:numPr>
    </w:pPr>
  </w:style>
  <w:style w:type="paragraph" w:styleId="BlockText">
    <w:name w:val="Block Text"/>
    <w:basedOn w:val="Normal"/>
    <w:rsid w:val="00CD7E15"/>
    <w:pPr>
      <w:spacing w:after="120"/>
      <w:ind w:left="1440" w:right="1440"/>
    </w:pPr>
  </w:style>
  <w:style w:type="character" w:customStyle="1" w:styleId="Subscript">
    <w:name w:val="Subscript"/>
    <w:basedOn w:val="DefaultParagraphFont"/>
    <w:rsid w:val="00CD7E15"/>
    <w:rPr>
      <w:sz w:val="16"/>
      <w:vertAlign w:val="subscript"/>
    </w:rPr>
  </w:style>
  <w:style w:type="character" w:customStyle="1" w:styleId="Superscript">
    <w:name w:val="Superscript"/>
    <w:basedOn w:val="DefaultParagraphFont"/>
    <w:rsid w:val="00CD7E15"/>
    <w:rPr>
      <w:sz w:val="16"/>
      <w:vertAlign w:val="superscript"/>
    </w:rPr>
  </w:style>
  <w:style w:type="character" w:customStyle="1" w:styleId="Symbols">
    <w:name w:val="Symbols"/>
    <w:basedOn w:val="DefaultParagraphFont"/>
    <w:rsid w:val="00CD7E15"/>
    <w:rPr>
      <w:rFonts w:ascii="Symbol" w:hAnsi="Symbol"/>
    </w:rPr>
  </w:style>
  <w:style w:type="character" w:customStyle="1" w:styleId="MenuOptions">
    <w:name w:val="Menu Options"/>
    <w:basedOn w:val="DefaultParagraphFont"/>
    <w:rsid w:val="00CD7E15"/>
    <w:rPr>
      <w:rFonts w:ascii="Arial Narrow" w:hAnsi="Arial Narrow"/>
      <w:smallCaps/>
    </w:rPr>
  </w:style>
  <w:style w:type="character" w:customStyle="1" w:styleId="Buttons">
    <w:name w:val="Buttons"/>
    <w:basedOn w:val="DefaultParagraphFont"/>
    <w:rsid w:val="00CD7E15"/>
    <w:rPr>
      <w:b/>
    </w:rPr>
  </w:style>
  <w:style w:type="character" w:customStyle="1" w:styleId="Underlined">
    <w:name w:val="Underlined"/>
    <w:basedOn w:val="DefaultParagraphFont"/>
    <w:rsid w:val="00CD7E15"/>
    <w:rPr>
      <w:u w:val="single"/>
    </w:rPr>
  </w:style>
  <w:style w:type="paragraph" w:customStyle="1" w:styleId="TableBodyTextRight">
    <w:name w:val="Table Body Text Right"/>
    <w:basedOn w:val="TableBodyText"/>
    <w:rsid w:val="00CD7E15"/>
    <w:pPr>
      <w:widowControl w:val="0"/>
      <w:autoSpaceDE w:val="0"/>
      <w:autoSpaceDN w:val="0"/>
      <w:adjustRightInd w:val="0"/>
      <w:jc w:val="right"/>
    </w:pPr>
    <w:rPr>
      <w:rFonts w:cs="Arial"/>
      <w:szCs w:val="18"/>
    </w:rPr>
  </w:style>
  <w:style w:type="paragraph" w:customStyle="1" w:styleId="CopyrightText">
    <w:name w:val="Copyright Text"/>
    <w:basedOn w:val="BodyText"/>
    <w:rsid w:val="00CD7E15"/>
    <w:rPr>
      <w:sz w:val="18"/>
    </w:rPr>
  </w:style>
  <w:style w:type="paragraph" w:customStyle="1" w:styleId="BodySmallRight">
    <w:name w:val="Body Small Right"/>
    <w:basedOn w:val="BodyTextRight"/>
    <w:rsid w:val="00CD7E15"/>
    <w:rPr>
      <w:sz w:val="18"/>
      <w:szCs w:val="18"/>
    </w:rPr>
  </w:style>
  <w:style w:type="paragraph" w:customStyle="1" w:styleId="MarginEdition">
    <w:name w:val="Margin Edition"/>
    <w:basedOn w:val="MarginNote"/>
    <w:rsid w:val="00CD7E15"/>
    <w:pPr>
      <w:spacing w:before="0" w:after="0"/>
    </w:pPr>
    <w:rPr>
      <w:rFonts w:ascii="Times New Roman" w:hAnsi="Times New Roman"/>
      <w:color w:val="999999"/>
    </w:rPr>
  </w:style>
  <w:style w:type="paragraph" w:customStyle="1" w:styleId="Spacer">
    <w:name w:val="Spacer"/>
    <w:basedOn w:val="Normal"/>
    <w:rsid w:val="00CD7E15"/>
    <w:rPr>
      <w:sz w:val="2"/>
      <w:szCs w:val="2"/>
    </w:rPr>
  </w:style>
  <w:style w:type="character" w:customStyle="1" w:styleId="Small">
    <w:name w:val="Small"/>
    <w:basedOn w:val="DefaultParagraphFont"/>
    <w:rsid w:val="00CD7E15"/>
    <w:rPr>
      <w:sz w:val="16"/>
    </w:rPr>
  </w:style>
  <w:style w:type="paragraph" w:customStyle="1" w:styleId="WideTable">
    <w:name w:val="Wide Table"/>
    <w:basedOn w:val="Normal"/>
    <w:rsid w:val="00CD7E15"/>
    <w:pPr>
      <w:ind w:left="-1418"/>
    </w:pPr>
    <w:rPr>
      <w:sz w:val="2"/>
      <w:szCs w:val="2"/>
    </w:rPr>
  </w:style>
  <w:style w:type="character" w:styleId="PageNumber">
    <w:name w:val="page number"/>
    <w:basedOn w:val="DefaultParagraphFont"/>
    <w:rsid w:val="00CD7E15"/>
  </w:style>
  <w:style w:type="paragraph" w:styleId="Quote">
    <w:name w:val="Quote"/>
    <w:basedOn w:val="Heading1"/>
    <w:link w:val="QuoteChar"/>
    <w:qFormat/>
    <w:rsid w:val="00CD7E15"/>
    <w:rPr>
      <w:b w:val="0"/>
      <w:sz w:val="72"/>
      <w:szCs w:val="72"/>
      <w:lang w:val="en-NZ"/>
    </w:rPr>
  </w:style>
  <w:style w:type="character" w:customStyle="1" w:styleId="QuoteChar">
    <w:name w:val="Quote Char"/>
    <w:basedOn w:val="DefaultParagraphFont"/>
    <w:link w:val="Quote"/>
    <w:rsid w:val="00CD7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E15"/>
    <w:pPr>
      <w:pageBreakBefore/>
    </w:pPr>
  </w:style>
  <w:style w:type="paragraph" w:customStyle="1" w:styleId="Border">
    <w:name w:val="Border"/>
    <w:basedOn w:val="Normal"/>
    <w:qFormat/>
    <w:rsid w:val="00CD7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E15"/>
    <w:rPr>
      <w:b/>
      <w:bCs/>
      <w:i/>
      <w:iCs/>
      <w:color w:val="auto"/>
    </w:rPr>
  </w:style>
  <w:style w:type="paragraph" w:styleId="IntenseQuote">
    <w:name w:val="Intense Quote"/>
    <w:basedOn w:val="Normal"/>
    <w:next w:val="Normal"/>
    <w:link w:val="IntenseQuoteChar"/>
    <w:uiPriority w:val="30"/>
    <w:qFormat/>
    <w:rsid w:val="00CD7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E15"/>
    <w:rPr>
      <w:smallCaps/>
      <w:color w:val="auto"/>
      <w:u w:val="single"/>
    </w:rPr>
  </w:style>
  <w:style w:type="character" w:styleId="IntenseReference">
    <w:name w:val="Intense Reference"/>
    <w:basedOn w:val="DefaultParagraphFont"/>
    <w:uiPriority w:val="32"/>
    <w:qFormat/>
    <w:rsid w:val="00CD7E15"/>
    <w:rPr>
      <w:b/>
      <w:bCs/>
      <w:smallCaps/>
      <w:color w:val="auto"/>
      <w:spacing w:val="5"/>
      <w:u w:val="single"/>
    </w:rPr>
  </w:style>
  <w:style w:type="paragraph" w:customStyle="1" w:styleId="2ColumnHeading">
    <w:name w:val="2Column Heading"/>
    <w:basedOn w:val="BodyText"/>
    <w:qFormat/>
    <w:rsid w:val="00CD7E15"/>
    <w:pPr>
      <w:spacing w:after="60"/>
      <w:ind w:left="-2268"/>
    </w:pPr>
    <w:rPr>
      <w:b/>
    </w:rPr>
  </w:style>
  <w:style w:type="paragraph" w:customStyle="1" w:styleId="Heading1TOC">
    <w:name w:val="Heading1 TOC"/>
    <w:basedOn w:val="Normal"/>
    <w:qFormat/>
    <w:rsid w:val="00CD7E15"/>
    <w:pPr>
      <w:spacing w:before="240" w:after="120"/>
    </w:pPr>
    <w:rPr>
      <w:rFonts w:ascii="Times New Roman" w:hAnsi="Times New Roman"/>
      <w:b/>
      <w:sz w:val="32"/>
    </w:rPr>
  </w:style>
  <w:style w:type="paragraph" w:customStyle="1" w:styleId="Heading2TOC">
    <w:name w:val="Heading2 TOC"/>
    <w:basedOn w:val="Normal"/>
    <w:qFormat/>
    <w:rsid w:val="00CD7E15"/>
    <w:pPr>
      <w:spacing w:before="240" w:after="60"/>
    </w:pPr>
    <w:rPr>
      <w:rFonts w:ascii="Times New Roman" w:hAnsi="Times New Roman"/>
      <w:b/>
      <w:sz w:val="28"/>
    </w:rPr>
  </w:style>
  <w:style w:type="character" w:customStyle="1" w:styleId="Underline">
    <w:name w:val="Underline"/>
    <w:basedOn w:val="DefaultParagraphFont"/>
    <w:qFormat/>
    <w:rsid w:val="00CD7E15"/>
    <w:rPr>
      <w:u w:val="single"/>
    </w:rPr>
  </w:style>
  <w:style w:type="paragraph" w:styleId="BalloonText">
    <w:name w:val="Balloon Text"/>
    <w:basedOn w:val="Normal"/>
    <w:link w:val="BalloonTextChar"/>
    <w:rsid w:val="00CD7E15"/>
    <w:rPr>
      <w:rFonts w:ascii="Tahoma" w:hAnsi="Tahoma" w:cs="Tahoma"/>
      <w:sz w:val="16"/>
      <w:szCs w:val="16"/>
    </w:rPr>
  </w:style>
  <w:style w:type="character" w:customStyle="1" w:styleId="BalloonTextChar">
    <w:name w:val="Balloon Text Char"/>
    <w:basedOn w:val="DefaultParagraphFont"/>
    <w:link w:val="BalloonText"/>
    <w:rsid w:val="00CD7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E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7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E15"/>
    <w:rPr>
      <w:b/>
      <w:color w:val="660033"/>
      <w:spacing w:val="0"/>
    </w:rPr>
  </w:style>
  <w:style w:type="paragraph" w:customStyle="1" w:styleId="Nameditemlist">
    <w:name w:val="Named item list"/>
    <w:basedOn w:val="BodyText"/>
    <w:qFormat/>
    <w:rsid w:val="00CD7E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8340</Characters>
  <Application>Microsoft Office Word</Application>
  <DocSecurity>0</DocSecurity>
  <Lines>297</Lines>
  <Paragraphs>206</Paragraphs>
  <ScaleCrop>false</ScaleCrop>
  <Company>Author-it Software Corporation Ltd.</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SIRXCCS201 Apply point-of-sale handling procedures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2012-06-14T07:04:00Z</dcterms:created>
  <dcterms:modified xsi:type="dcterms:W3CDTF">2012-06-14T07:04:00Z</dcterms:modified>
</cp:coreProperties>
</file>