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245" w:rsidP="009C5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SIRXSLS002 Follow point-of-sale procedures</w:t>
      </w:r>
      <w:r>
        <w:fldChar w:fldCharType="end"/>
      </w:r>
    </w:p>
    <w:p w:rsidR="009C5245" w:rsidP="009C5245">
      <w:pPr>
        <w:pStyle w:val="Version"/>
        <w:sectPr w:rsidSect="004C0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CAC" w:rsidP="004C0CAC">
      <w:pPr>
        <w:pStyle w:val="SuperHeading"/>
      </w:pPr>
      <w:r w:rsidRPr="004C0CAC">
        <w:t>Assessment Requirements for SIRXSLS002 Follow point-of-sale procedures</w:t>
      </w:r>
    </w:p>
    <w:p w:rsidR="00000000" w:rsidRPr="004C0CAC" w:rsidP="004C0CAC">
      <w:pPr>
        <w:pStyle w:val="Heading1"/>
      </w:pPr>
      <w:bookmarkStart w:id="1" w:name="O_850547"/>
      <w:bookmarkEnd w:id="1"/>
      <w:r w:rsidRPr="004C0CAC">
        <w:t>Modification History</w:t>
      </w:r>
    </w:p>
    <w:p w:rsidR="00000000" w:rsidRPr="004C0CAC" w:rsidP="009C5245">
      <w:pPr>
        <w:pStyle w:val="BodyText"/>
      </w:pPr>
      <w:r w:rsidRPr="004C0CAC">
        <w:t>Not applicable.</w:t>
      </w:r>
    </w:p>
    <w:p w:rsidR="00000000" w:rsidRPr="004C0CAC" w:rsidP="004C0CAC">
      <w:pPr>
        <w:pStyle w:val="Heading1"/>
      </w:pPr>
      <w:bookmarkStart w:id="2" w:name="O_850548"/>
      <w:bookmarkEnd w:id="2"/>
      <w:r w:rsidRPr="004C0CAC">
        <w:t>Performance Evidence</w:t>
      </w:r>
    </w:p>
    <w:p w:rsidR="00000000" w:rsidRPr="004C0CAC" w:rsidP="009C5245">
      <w:pPr>
        <w:pStyle w:val="BodyText"/>
      </w:pPr>
      <w:r w:rsidRPr="004C0CAC">
        <w:t xml:space="preserve">Evidence of the ability to complete tasks outlined in elements and performance criteria of this unit in the context of the job role, and: </w:t>
      </w:r>
    </w:p>
    <w:p w:rsidR="00000000" w:rsidRPr="004C0CAC" w:rsidP="004C0CAC">
      <w:pPr>
        <w:pStyle w:val="ListBullet"/>
      </w:pPr>
      <w:r w:rsidRPr="004C0CAC">
        <w:t>follow procedures for set up, maintenance and close of point-of-sale area/terminal on three different occasions</w:t>
      </w:r>
    </w:p>
    <w:p w:rsidR="00000000" w:rsidRPr="004C0CAC" w:rsidP="004C0CAC">
      <w:pPr>
        <w:pStyle w:val="ListBullet"/>
      </w:pPr>
      <w:r w:rsidRPr="004C0CAC">
        <w:t>perf</w:t>
      </w:r>
      <w:r w:rsidRPr="004C0CAC">
        <w:t xml:space="preserve">orm three point-of-sale transactions for each of the following: </w:t>
      </w:r>
    </w:p>
    <w:p w:rsidR="00000000" w:rsidRPr="004C0CAC" w:rsidP="004C0CAC">
      <w:pPr>
        <w:pStyle w:val="ListBullet2"/>
      </w:pPr>
      <w:r w:rsidRPr="004C0CAC">
        <w:t>cash sales</w:t>
      </w:r>
    </w:p>
    <w:p w:rsidR="00000000" w:rsidRPr="004C0CAC" w:rsidP="004C0CAC">
      <w:pPr>
        <w:pStyle w:val="ListBullet2"/>
      </w:pPr>
      <w:r w:rsidRPr="004C0CAC">
        <w:t xml:space="preserve">non-cash sales </w:t>
      </w:r>
    </w:p>
    <w:p w:rsidR="00000000" w:rsidRPr="004C0CAC" w:rsidP="004C0CAC">
      <w:pPr>
        <w:pStyle w:val="ListBullet"/>
      </w:pPr>
      <w:r w:rsidRPr="004C0CAC">
        <w:t>perform three point-of-sale transactions for each of the following:</w:t>
      </w:r>
    </w:p>
    <w:p w:rsidR="00000000" w:rsidRPr="004C0CAC" w:rsidP="004C0CAC">
      <w:pPr>
        <w:pStyle w:val="ListBullet2"/>
      </w:pPr>
      <w:r w:rsidRPr="004C0CAC">
        <w:t>refunds</w:t>
      </w:r>
    </w:p>
    <w:p w:rsidR="00000000" w:rsidRPr="004C0CAC" w:rsidP="004C0CAC">
      <w:pPr>
        <w:pStyle w:val="ListBullet2"/>
      </w:pPr>
      <w:r w:rsidRPr="004C0CAC">
        <w:t>exchanges</w:t>
      </w:r>
    </w:p>
    <w:p w:rsidR="00000000" w:rsidRPr="004C0CAC" w:rsidP="004C0CAC">
      <w:pPr>
        <w:pStyle w:val="ListBullet"/>
      </w:pPr>
      <w:r w:rsidRPr="004C0CAC">
        <w:t>make six accurate financial calculations relating to product pricing that individually or cumulatively involve:</w:t>
      </w:r>
    </w:p>
    <w:p w:rsidR="00000000" w:rsidRPr="004C0CAC" w:rsidP="004C0CAC">
      <w:pPr>
        <w:pStyle w:val="ListBullet2"/>
      </w:pPr>
      <w:r w:rsidRPr="004C0CAC">
        <w:t>multiple products</w:t>
      </w:r>
    </w:p>
    <w:p w:rsidR="00000000" w:rsidRPr="004C0CAC" w:rsidP="004C0CAC">
      <w:pPr>
        <w:pStyle w:val="ListBullet2"/>
      </w:pPr>
      <w:r w:rsidRPr="004C0CAC">
        <w:t>products of varying prices</w:t>
      </w:r>
    </w:p>
    <w:p w:rsidR="00000000" w:rsidRPr="004C0CAC" w:rsidP="004C0CAC">
      <w:pPr>
        <w:pStyle w:val="ListBullet2"/>
      </w:pPr>
      <w:r w:rsidRPr="004C0CAC">
        <w:t>products with percentage discounts</w:t>
      </w:r>
    </w:p>
    <w:p w:rsidR="00000000" w:rsidRPr="004C0CAC" w:rsidP="004C0CAC">
      <w:pPr>
        <w:pStyle w:val="ListBullet"/>
      </w:pPr>
      <w:r w:rsidRPr="004C0CAC">
        <w:t>follow procedures to complete four sales that require post pur</w:t>
      </w:r>
      <w:r w:rsidRPr="004C0CAC">
        <w:t>chase activity.</w:t>
      </w:r>
    </w:p>
    <w:p w:rsidR="00000000" w:rsidRPr="004C0CAC" w:rsidP="004C0CAC">
      <w:pPr>
        <w:pStyle w:val="AllowPageBreak"/>
      </w:pPr>
    </w:p>
    <w:p w:rsidR="00000000" w:rsidRPr="004C0CAC" w:rsidP="004C0CAC">
      <w:pPr>
        <w:pStyle w:val="Heading1"/>
      </w:pPr>
      <w:bookmarkStart w:id="3" w:name="O_850549"/>
      <w:bookmarkEnd w:id="3"/>
      <w:r w:rsidRPr="004C0CAC">
        <w:t>Knowledge Evidence</w:t>
      </w:r>
    </w:p>
    <w:p w:rsidR="00000000" w:rsidRPr="004C0CAC" w:rsidP="009C5245">
      <w:pPr>
        <w:pStyle w:val="BodyText"/>
      </w:pPr>
      <w:r w:rsidRPr="004C0CAC">
        <w:t>Demonstrated knowledge required to complete the tasks outlined in elements and performance criteria of this unit:</w:t>
      </w:r>
    </w:p>
    <w:p w:rsidR="00000000" w:rsidRPr="004C0CAC" w:rsidP="004C0CAC">
      <w:pPr>
        <w:pStyle w:val="ListBullet"/>
      </w:pPr>
      <w:r w:rsidRPr="004C0CAC">
        <w:t>organisational policies and procedures for:</w:t>
      </w:r>
    </w:p>
    <w:p w:rsidR="00000000" w:rsidRPr="004C0CAC" w:rsidP="004C0CAC">
      <w:pPr>
        <w:pStyle w:val="ListBullet2"/>
      </w:pPr>
      <w:r w:rsidRPr="004C0CAC">
        <w:t>exchanges</w:t>
      </w:r>
    </w:p>
    <w:p w:rsidR="00000000" w:rsidRPr="004C0CAC" w:rsidP="004C0CAC">
      <w:pPr>
        <w:pStyle w:val="ListBullet2"/>
      </w:pPr>
      <w:r w:rsidRPr="004C0CAC">
        <w:t>refunds</w:t>
      </w:r>
    </w:p>
    <w:p w:rsidR="00000000" w:rsidRPr="004C0CAC" w:rsidP="004C0CAC">
      <w:pPr>
        <w:pStyle w:val="ListBullet2"/>
      </w:pPr>
      <w:r w:rsidRPr="004C0CAC">
        <w:t>lay-by</w:t>
      </w:r>
    </w:p>
    <w:p w:rsidR="00000000" w:rsidRPr="004C0CAC" w:rsidP="004C0CAC">
      <w:pPr>
        <w:pStyle w:val="ListBullet"/>
      </w:pPr>
      <w:r w:rsidRPr="004C0CAC">
        <w:t>basic key aspects of legislation that impact point-of-sale activities:</w:t>
      </w:r>
    </w:p>
    <w:p w:rsidR="00000000" w:rsidRPr="004C0CAC" w:rsidP="004C0CAC">
      <w:pPr>
        <w:pStyle w:val="ListBullet2"/>
      </w:pPr>
      <w:r w:rsidRPr="004C0CAC">
        <w:t>Australian Consumer Law</w:t>
      </w:r>
    </w:p>
    <w:p w:rsidR="00000000" w:rsidRPr="004C0CAC" w:rsidP="004C0CAC">
      <w:pPr>
        <w:pStyle w:val="ListBullet"/>
      </w:pPr>
      <w:r w:rsidRPr="004C0CAC">
        <w:t>features of products sold by the organisation</w:t>
      </w:r>
    </w:p>
    <w:p w:rsidR="00000000" w:rsidRPr="004C0CAC" w:rsidP="004C0CAC">
      <w:pPr>
        <w:pStyle w:val="ListBullet"/>
      </w:pPr>
      <w:r w:rsidRPr="004C0CAC">
        <w:t>functions and procedures for operating point-of-sale equipment:</w:t>
      </w:r>
    </w:p>
    <w:p w:rsidR="00000000" w:rsidRPr="004C0CAC" w:rsidP="004C0CAC">
      <w:pPr>
        <w:pStyle w:val="ListBullet2"/>
      </w:pPr>
      <w:r w:rsidRPr="004C0CAC">
        <w:t>opening and closing</w:t>
      </w:r>
    </w:p>
    <w:p w:rsidR="00000000" w:rsidRPr="004C0CAC" w:rsidP="004C0CAC">
      <w:pPr>
        <w:pStyle w:val="ListBullet2"/>
      </w:pPr>
      <w:r w:rsidRPr="004C0CAC">
        <w:t>clearance of terminal and tr</w:t>
      </w:r>
      <w:r w:rsidRPr="004C0CAC">
        <w:t>ansference of tender</w:t>
      </w:r>
    </w:p>
    <w:p w:rsidR="00000000" w:rsidRPr="004C0CAC" w:rsidP="004C0CAC">
      <w:pPr>
        <w:pStyle w:val="ListBullet2"/>
      </w:pPr>
      <w:r w:rsidRPr="004C0CAC">
        <w:t>recording takings</w:t>
      </w:r>
    </w:p>
    <w:p w:rsidR="00000000" w:rsidRPr="004C0CAC" w:rsidP="004C0CAC">
      <w:pPr>
        <w:pStyle w:val="ListBullet2"/>
      </w:pPr>
      <w:r w:rsidRPr="004C0CAC">
        <w:t>consumables required by system</w:t>
      </w:r>
    </w:p>
    <w:p w:rsidR="00000000" w:rsidRPr="004C0CAC" w:rsidP="004C0CAC">
      <w:pPr>
        <w:pStyle w:val="ListBullet2"/>
      </w:pPr>
      <w:r w:rsidRPr="004C0CAC">
        <w:t>security</w:t>
      </w:r>
    </w:p>
    <w:p w:rsidR="00000000" w:rsidRPr="004C0CAC" w:rsidP="004C0CAC">
      <w:pPr>
        <w:pStyle w:val="ListBullet"/>
      </w:pPr>
      <w:r w:rsidRPr="004C0CAC">
        <w:t>cash handling procedures:</w:t>
      </w:r>
    </w:p>
    <w:p w:rsidR="00000000" w:rsidRPr="004C0CAC" w:rsidP="004C0CAC">
      <w:pPr>
        <w:pStyle w:val="ListBullet2"/>
      </w:pPr>
      <w:r w:rsidRPr="004C0CAC">
        <w:t>counting cash</w:t>
      </w:r>
    </w:p>
    <w:p w:rsidR="00000000" w:rsidRPr="004C0CAC" w:rsidP="004C0CAC">
      <w:pPr>
        <w:pStyle w:val="ListBullet2"/>
      </w:pPr>
      <w:r w:rsidRPr="004C0CAC">
        <w:t>handling cash floats</w:t>
      </w:r>
    </w:p>
    <w:p w:rsidR="00000000" w:rsidRPr="004C0CAC" w:rsidP="004C0CAC">
      <w:pPr>
        <w:pStyle w:val="ListBullet2"/>
      </w:pPr>
      <w:r w:rsidRPr="004C0CAC">
        <w:t>change required, denominations of change and tendering change</w:t>
      </w:r>
    </w:p>
    <w:p w:rsidR="00000000" w:rsidRPr="004C0CAC" w:rsidP="004C0CAC">
      <w:pPr>
        <w:pStyle w:val="ListBullet2"/>
      </w:pPr>
      <w:r w:rsidRPr="004C0CAC">
        <w:t>security</w:t>
      </w:r>
    </w:p>
    <w:p w:rsidR="00000000" w:rsidRPr="004C0CAC" w:rsidP="004C0CAC">
      <w:pPr>
        <w:pStyle w:val="ListBullet"/>
      </w:pPr>
      <w:r w:rsidRPr="004C0CAC">
        <w:t>procedures for non-cash transactions:</w:t>
      </w:r>
    </w:p>
    <w:p w:rsidR="00000000" w:rsidRPr="004C0CAC" w:rsidP="004C0CAC">
      <w:pPr>
        <w:pStyle w:val="ListBullet2"/>
      </w:pPr>
      <w:r w:rsidRPr="004C0CAC">
        <w:t>credit cards</w:t>
      </w:r>
    </w:p>
    <w:p w:rsidR="00000000" w:rsidRPr="004C0CAC" w:rsidP="004C0CAC">
      <w:pPr>
        <w:pStyle w:val="ListBullet2"/>
      </w:pPr>
      <w:r w:rsidRPr="004C0CAC">
        <w:t>EFTPOS</w:t>
      </w:r>
    </w:p>
    <w:p w:rsidR="00000000" w:rsidRPr="004C0CAC" w:rsidP="004C0CAC">
      <w:pPr>
        <w:pStyle w:val="ListBullet2"/>
      </w:pPr>
      <w:r w:rsidRPr="004C0CAC">
        <w:t>vouchers</w:t>
      </w:r>
    </w:p>
    <w:p w:rsidR="00000000" w:rsidRPr="004C0CAC" w:rsidP="004C0CAC">
      <w:pPr>
        <w:pStyle w:val="ListBullet"/>
      </w:pPr>
      <w:r w:rsidRPr="004C0CAC">
        <w:t>types of purchase follow up activities and associated organisational policies and procedures:</w:t>
      </w:r>
    </w:p>
    <w:p w:rsidR="00000000" w:rsidRPr="004C0CAC" w:rsidP="004C0CAC">
      <w:pPr>
        <w:pStyle w:val="ListBullet2"/>
      </w:pPr>
      <w:r w:rsidRPr="004C0CAC">
        <w:t>placing of orders</w:t>
      </w:r>
    </w:p>
    <w:p w:rsidR="00000000" w:rsidRPr="004C0CAC" w:rsidP="004C0CAC">
      <w:pPr>
        <w:pStyle w:val="ListBullet2"/>
      </w:pPr>
      <w:r w:rsidRPr="004C0CAC">
        <w:t>delivery</w:t>
      </w:r>
    </w:p>
    <w:p w:rsidR="00000000" w:rsidRPr="004C0CAC" w:rsidP="004C0CAC">
      <w:pPr>
        <w:pStyle w:val="ListBullet2"/>
      </w:pPr>
      <w:r w:rsidRPr="004C0CAC">
        <w:t>issuing of invoices</w:t>
      </w:r>
    </w:p>
    <w:p w:rsidR="00000000" w:rsidRPr="004C0CAC" w:rsidP="004C0CAC">
      <w:pPr>
        <w:pStyle w:val="ListBullet2"/>
      </w:pPr>
      <w:r w:rsidRPr="004C0CAC">
        <w:t>issuing of receipts</w:t>
      </w:r>
    </w:p>
    <w:p w:rsidR="00000000" w:rsidRPr="004C0CAC" w:rsidP="004C0CAC">
      <w:pPr>
        <w:pStyle w:val="ListBullet2"/>
      </w:pPr>
      <w:r w:rsidRPr="004C0CAC">
        <w:t>wrapping and packing.</w:t>
      </w:r>
    </w:p>
    <w:p w:rsidR="00000000" w:rsidRPr="004C0CAC" w:rsidP="004C0CAC">
      <w:pPr>
        <w:pStyle w:val="AllowPageBreak"/>
      </w:pPr>
    </w:p>
    <w:p w:rsidR="00000000" w:rsidRPr="004C0CAC" w:rsidP="004C0CAC">
      <w:pPr>
        <w:pStyle w:val="Heading1"/>
      </w:pPr>
      <w:bookmarkStart w:id="4" w:name="O_850550"/>
      <w:bookmarkEnd w:id="4"/>
      <w:r w:rsidRPr="004C0CAC">
        <w:t>Assessment Conditions</w:t>
      </w:r>
    </w:p>
    <w:p w:rsidR="00000000" w:rsidRPr="004C0CAC" w:rsidP="009C5245">
      <w:pPr>
        <w:pStyle w:val="BodyText"/>
      </w:pPr>
      <w:r w:rsidRPr="004C0CAC">
        <w:t>Skills must be demonstrated in a service industries environment. This can be:</w:t>
      </w:r>
    </w:p>
    <w:p w:rsidR="00000000" w:rsidRPr="004C0CAC" w:rsidP="004C0CAC">
      <w:pPr>
        <w:pStyle w:val="ListBullet"/>
      </w:pPr>
      <w:r w:rsidRPr="004C0CAC">
        <w:t>an industry workplace</w:t>
      </w:r>
    </w:p>
    <w:p w:rsidR="00000000" w:rsidRPr="004C0CAC" w:rsidP="004C0CAC">
      <w:pPr>
        <w:pStyle w:val="ListBullet"/>
      </w:pPr>
      <w:r w:rsidRPr="004C0CAC">
        <w:t>a simulated industry environment.</w:t>
      </w:r>
    </w:p>
    <w:p w:rsidR="00000000" w:rsidRPr="004C0CAC" w:rsidP="004C0CAC">
      <w:pPr>
        <w:pStyle w:val="BodyText"/>
      </w:pPr>
    </w:p>
    <w:p w:rsidR="00000000" w:rsidRPr="004C0CAC" w:rsidP="009C5245">
      <w:pPr>
        <w:pStyle w:val="BodyText"/>
      </w:pPr>
      <w:r w:rsidRPr="004C0CAC">
        <w:t>Assessment must ensure access to:</w:t>
      </w:r>
    </w:p>
    <w:p w:rsidR="00000000" w:rsidRPr="004C0CAC" w:rsidP="004C0CAC">
      <w:pPr>
        <w:pStyle w:val="ListBullet"/>
      </w:pPr>
      <w:r w:rsidRPr="004C0CAC">
        <w:t>organisational policies and procedures for point-of-sale activities</w:t>
      </w:r>
    </w:p>
    <w:p w:rsidR="00000000" w:rsidRPr="004C0CAC" w:rsidP="004C0CAC">
      <w:pPr>
        <w:pStyle w:val="ListBullet"/>
      </w:pPr>
      <w:r w:rsidRPr="004C0CAC">
        <w:t>current plain Eng</w:t>
      </w:r>
      <w:r w:rsidRPr="004C0CAC">
        <w:t>lish regulatory documents distributed by government regulators outlining key aspects of legislation that impact point-of-sale activities as listed in the Knowledge Evidence</w:t>
      </w:r>
    </w:p>
    <w:p w:rsidR="00000000" w:rsidRPr="004C0CAC" w:rsidP="004C0CAC">
      <w:pPr>
        <w:pStyle w:val="ListBullet"/>
      </w:pPr>
      <w:r w:rsidRPr="004C0CAC">
        <w:t>point-of-sale equipment and consumables</w:t>
      </w:r>
    </w:p>
    <w:p w:rsidR="00000000" w:rsidRPr="004C0CAC" w:rsidP="004C0CAC">
      <w:pPr>
        <w:pStyle w:val="ListBullet"/>
      </w:pPr>
      <w:r w:rsidRPr="004C0CAC">
        <w:t>financial transaction documentation for non</w:t>
      </w:r>
      <w:r w:rsidRPr="004C0CAC">
        <w:t>-cash sales</w:t>
      </w:r>
    </w:p>
    <w:p w:rsidR="00000000" w:rsidRPr="004C0CAC" w:rsidP="004C0CAC">
      <w:pPr>
        <w:pStyle w:val="ListBullet"/>
      </w:pPr>
      <w:r w:rsidRPr="004C0CAC">
        <w:t>cash</w:t>
      </w:r>
    </w:p>
    <w:p w:rsidR="00000000" w:rsidRPr="004C0CAC" w:rsidP="004C0CAC">
      <w:pPr>
        <w:pStyle w:val="ListBullet"/>
      </w:pPr>
      <w:r w:rsidRPr="004C0CAC">
        <w:t>assessment activities that allow the individual to work with commercial speed, timing and productivity.</w:t>
      </w:r>
    </w:p>
    <w:p w:rsidR="00000000" w:rsidRPr="004C0CAC" w:rsidP="004C0CAC">
      <w:pPr>
        <w:pStyle w:val="BodyText"/>
      </w:pPr>
    </w:p>
    <w:p w:rsidR="00000000" w:rsidRPr="004C0CAC" w:rsidP="009C5245">
      <w:pPr>
        <w:pStyle w:val="BodyText"/>
      </w:pPr>
      <w:r w:rsidRPr="004C0CAC">
        <w:t>Assessors must satisfy the Standards for Registered Training Organisations’ requirements for assessors.</w:t>
      </w:r>
    </w:p>
    <w:p w:rsidR="00000000" w:rsidRPr="004C0CAC" w:rsidP="004C0CAC">
      <w:pPr>
        <w:pStyle w:val="Heading1"/>
      </w:pPr>
      <w:bookmarkStart w:id="5" w:name="O_850553"/>
      <w:bookmarkEnd w:id="5"/>
      <w:r w:rsidRPr="004C0CAC">
        <w:t>Links</w:t>
      </w:r>
    </w:p>
    <w:p w:rsidR="00000000" w:rsidRPr="004C0CAC" w:rsidP="009C5245">
      <w:pPr>
        <w:pStyle w:val="BodyText"/>
      </w:pPr>
      <w:r w:rsidRPr="004C0CAC">
        <w:t>Compani</w:t>
      </w:r>
      <w:r w:rsidRPr="004C0CA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F502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C0CAC" w:rsidP="004C0CAC"/>
    <w:sectPr w:rsidSect="004C0C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AC" w:rsidRPr="009C5245" w:rsidP="009C5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245" w:rsidP="004C0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245" w:rsidP="004C0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5245" w:rsidP="004C0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CAC" w:rsidRPr="009C5245" w:rsidP="009C5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245" w:rsidRPr="002D2AF8" w:rsidP="004C0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SIRXSLS002 Follow point-of-sale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5245" w:rsidP="004C0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F0C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9C1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2D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CAC"/>
  </w:style>
  <w:style w:type="character" w:customStyle="1" w:styleId="Heading1Char">
    <w:name w:val="Heading 1 Char"/>
    <w:basedOn w:val="DefaultParagraphFont"/>
    <w:link w:val="Heading1"/>
    <w:rsid w:val="004C0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C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0C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0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0CAC"/>
    <w:rPr>
      <w:b/>
      <w:spacing w:val="0"/>
    </w:rPr>
  </w:style>
  <w:style w:type="paragraph" w:customStyle="1" w:styleId="SuperTitle">
    <w:name w:val="SuperTitle"/>
    <w:basedOn w:val="Title"/>
    <w:rsid w:val="004C0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C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CAC"/>
    <w:rPr>
      <w:i/>
    </w:rPr>
  </w:style>
  <w:style w:type="paragraph" w:styleId="Caption">
    <w:name w:val="caption"/>
    <w:basedOn w:val="BodyText"/>
    <w:next w:val="Normal"/>
    <w:qFormat/>
    <w:rsid w:val="004C0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CAC"/>
  </w:style>
  <w:style w:type="paragraph" w:styleId="TableofFigures">
    <w:name w:val="table of figures"/>
    <w:basedOn w:val="Normal"/>
    <w:next w:val="Normal"/>
    <w:semiHidden/>
    <w:rsid w:val="004C0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C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0CAC"/>
    <w:rPr>
      <w:rFonts w:ascii="Wingdings" w:hAnsi="Wingdings"/>
    </w:rPr>
  </w:style>
  <w:style w:type="paragraph" w:customStyle="1" w:styleId="TableHeading">
    <w:name w:val="Table Heading"/>
    <w:basedOn w:val="HeadingBase"/>
    <w:rsid w:val="004C0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CAC"/>
    <w:rPr>
      <w:color w:val="0033CC"/>
      <w:u w:val="none"/>
    </w:rPr>
  </w:style>
  <w:style w:type="paragraph" w:customStyle="1" w:styleId="BodyTextRight">
    <w:name w:val="Body Text Right"/>
    <w:basedOn w:val="BodyText"/>
    <w:rsid w:val="004C0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C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CAC"/>
    <w:rPr>
      <w:sz w:val="32"/>
    </w:rPr>
  </w:style>
  <w:style w:type="paragraph" w:customStyle="1" w:styleId="HeadingProcedure">
    <w:name w:val="Heading Procedure"/>
    <w:basedOn w:val="HeadingBase"/>
    <w:next w:val="Normal"/>
    <w:rsid w:val="004C0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CAC"/>
    <w:pPr>
      <w:spacing w:before="60" w:after="60"/>
    </w:pPr>
  </w:style>
  <w:style w:type="paragraph" w:styleId="ListContinue">
    <w:name w:val="List Continue"/>
    <w:basedOn w:val="List"/>
    <w:rsid w:val="004C0CAC"/>
    <w:pPr>
      <w:ind w:firstLine="0"/>
    </w:pPr>
  </w:style>
  <w:style w:type="paragraph" w:customStyle="1" w:styleId="ListNote">
    <w:name w:val="List Note"/>
    <w:basedOn w:val="List"/>
    <w:rsid w:val="004C0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CAC"/>
    <w:rPr>
      <w:rFonts w:ascii="Courier New" w:hAnsi="Courier New"/>
    </w:rPr>
  </w:style>
  <w:style w:type="paragraph" w:customStyle="1" w:styleId="NoteBullet">
    <w:name w:val="Note Bullet"/>
    <w:basedOn w:val="Note"/>
    <w:rsid w:val="004C0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CAC"/>
    <w:rPr>
      <w:b/>
      <w:smallCaps/>
    </w:rPr>
  </w:style>
  <w:style w:type="paragraph" w:customStyle="1" w:styleId="TableListNumber">
    <w:name w:val="Table List Number"/>
    <w:basedOn w:val="ListNumber"/>
    <w:rsid w:val="004C0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CAC"/>
    <w:pPr>
      <w:numPr>
        <w:numId w:val="9"/>
      </w:numPr>
    </w:pPr>
  </w:style>
  <w:style w:type="paragraph" w:customStyle="1" w:styleId="ListAlpha2">
    <w:name w:val="List Alpha 2"/>
    <w:basedOn w:val="List2"/>
    <w:rsid w:val="004C0CAC"/>
    <w:pPr>
      <w:numPr>
        <w:numId w:val="8"/>
      </w:numPr>
    </w:pPr>
  </w:style>
  <w:style w:type="paragraph" w:styleId="List2">
    <w:name w:val="List 2"/>
    <w:basedOn w:val="BodyText"/>
    <w:rsid w:val="004C0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C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0CAC"/>
    <w:pPr>
      <w:numPr>
        <w:numId w:val="4"/>
      </w:numPr>
    </w:pPr>
  </w:style>
  <w:style w:type="paragraph" w:styleId="ListContinue2">
    <w:name w:val="List Continue 2"/>
    <w:basedOn w:val="List2"/>
    <w:rsid w:val="004C0CAC"/>
    <w:pPr>
      <w:ind w:firstLine="0"/>
    </w:pPr>
  </w:style>
  <w:style w:type="paragraph" w:styleId="ListContinue3">
    <w:name w:val="List Continue 3"/>
    <w:basedOn w:val="List3"/>
    <w:rsid w:val="004C0CAC"/>
    <w:pPr>
      <w:ind w:left="1021" w:firstLine="0"/>
    </w:pPr>
  </w:style>
  <w:style w:type="paragraph" w:styleId="ListContinue4">
    <w:name w:val="List Continue 4"/>
    <w:basedOn w:val="List4"/>
    <w:rsid w:val="004C0CAC"/>
    <w:pPr>
      <w:ind w:firstLine="0"/>
    </w:pPr>
  </w:style>
  <w:style w:type="paragraph" w:styleId="ListContinue5">
    <w:name w:val="List Continue 5"/>
    <w:basedOn w:val="List5"/>
    <w:rsid w:val="004C0CAC"/>
    <w:pPr>
      <w:ind w:firstLine="0"/>
    </w:pPr>
  </w:style>
  <w:style w:type="paragraph" w:styleId="ListNumber3">
    <w:name w:val="List Number 3"/>
    <w:basedOn w:val="List3"/>
    <w:rsid w:val="004C0CAC"/>
    <w:pPr>
      <w:numPr>
        <w:numId w:val="5"/>
      </w:numPr>
    </w:pPr>
  </w:style>
  <w:style w:type="paragraph" w:styleId="ListNumber4">
    <w:name w:val="List Number 4"/>
    <w:basedOn w:val="List4"/>
    <w:rsid w:val="004C0CAC"/>
    <w:pPr>
      <w:numPr>
        <w:numId w:val="6"/>
      </w:numPr>
    </w:pPr>
  </w:style>
  <w:style w:type="paragraph" w:styleId="ListNumber5">
    <w:name w:val="List Number 5"/>
    <w:basedOn w:val="List5"/>
    <w:rsid w:val="004C0CAC"/>
    <w:pPr>
      <w:numPr>
        <w:numId w:val="7"/>
      </w:numPr>
    </w:pPr>
  </w:style>
  <w:style w:type="paragraph" w:styleId="BlockText">
    <w:name w:val="Block Text"/>
    <w:basedOn w:val="Normal"/>
    <w:rsid w:val="004C0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CAC"/>
    <w:rPr>
      <w:sz w:val="16"/>
      <w:vertAlign w:val="superscript"/>
    </w:rPr>
  </w:style>
  <w:style w:type="character" w:customStyle="1" w:styleId="Symbols">
    <w:name w:val="Symbols"/>
    <w:basedOn w:val="DefaultParagraphFont"/>
    <w:rsid w:val="004C0CAC"/>
    <w:rPr>
      <w:rFonts w:ascii="Symbol" w:hAnsi="Symbol"/>
    </w:rPr>
  </w:style>
  <w:style w:type="character" w:customStyle="1" w:styleId="MenuOptions">
    <w:name w:val="Menu Options"/>
    <w:basedOn w:val="DefaultParagraphFont"/>
    <w:rsid w:val="004C0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CAC"/>
    <w:rPr>
      <w:b/>
    </w:rPr>
  </w:style>
  <w:style w:type="character" w:customStyle="1" w:styleId="Underlined">
    <w:name w:val="Underlined"/>
    <w:basedOn w:val="DefaultParagraphFont"/>
    <w:rsid w:val="004C0CAC"/>
    <w:rPr>
      <w:u w:val="single"/>
    </w:rPr>
  </w:style>
  <w:style w:type="paragraph" w:customStyle="1" w:styleId="TableBodyTextRight">
    <w:name w:val="Table Body Text Right"/>
    <w:basedOn w:val="TableBodyText"/>
    <w:rsid w:val="004C0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CAC"/>
    <w:rPr>
      <w:sz w:val="18"/>
    </w:rPr>
  </w:style>
  <w:style w:type="paragraph" w:customStyle="1" w:styleId="BodySmallRight">
    <w:name w:val="Body Small Right"/>
    <w:basedOn w:val="BodyTextRight"/>
    <w:rsid w:val="004C0CAC"/>
    <w:rPr>
      <w:sz w:val="18"/>
      <w:szCs w:val="18"/>
    </w:rPr>
  </w:style>
  <w:style w:type="paragraph" w:customStyle="1" w:styleId="MarginEdition">
    <w:name w:val="Margin Edition"/>
    <w:basedOn w:val="MarginNote"/>
    <w:rsid w:val="004C0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CAC"/>
    <w:rPr>
      <w:sz w:val="2"/>
      <w:szCs w:val="2"/>
    </w:rPr>
  </w:style>
  <w:style w:type="character" w:customStyle="1" w:styleId="Small">
    <w:name w:val="Small"/>
    <w:basedOn w:val="DefaultParagraphFont"/>
    <w:rsid w:val="004C0CAC"/>
    <w:rPr>
      <w:sz w:val="16"/>
    </w:rPr>
  </w:style>
  <w:style w:type="paragraph" w:customStyle="1" w:styleId="WideTable">
    <w:name w:val="Wide Table"/>
    <w:basedOn w:val="Normal"/>
    <w:rsid w:val="004C0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CAC"/>
  </w:style>
  <w:style w:type="paragraph" w:styleId="Quote">
    <w:name w:val="Quote"/>
    <w:basedOn w:val="Heading1"/>
    <w:link w:val="QuoteChar"/>
    <w:qFormat/>
    <w:rsid w:val="004C0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CAC"/>
    <w:pPr>
      <w:pageBreakBefore/>
    </w:pPr>
  </w:style>
  <w:style w:type="paragraph" w:customStyle="1" w:styleId="Border">
    <w:name w:val="Border"/>
    <w:basedOn w:val="Normal"/>
    <w:qFormat/>
    <w:rsid w:val="004C0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CAC"/>
    <w:rPr>
      <w:u w:val="single"/>
    </w:rPr>
  </w:style>
  <w:style w:type="character" w:customStyle="1" w:styleId="BoldandItalics">
    <w:name w:val="Bold and Italics"/>
    <w:qFormat/>
    <w:rsid w:val="004C0CAC"/>
    <w:rPr>
      <w:b/>
      <w:i/>
      <w:u w:val="none"/>
    </w:rPr>
  </w:style>
  <w:style w:type="paragraph" w:styleId="BalloonText">
    <w:name w:val="Balloon Text"/>
    <w:basedOn w:val="Normal"/>
    <w:link w:val="BalloonTextChar"/>
    <w:rsid w:val="004C0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CAC"/>
    <w:pPr>
      <w:spacing w:before="0" w:after="0"/>
    </w:pPr>
  </w:style>
  <w:style w:type="paragraph" w:customStyle="1" w:styleId="BodyTextBold">
    <w:name w:val="Body Text Bold"/>
    <w:basedOn w:val="BodyText"/>
    <w:qFormat/>
    <w:rsid w:val="004C0CAC"/>
    <w:rPr>
      <w:b/>
    </w:rPr>
  </w:style>
  <w:style w:type="character" w:styleId="Hyperlink">
    <w:name w:val="Hyperlink"/>
    <w:basedOn w:val="DefaultParagraphFont"/>
    <w:uiPriority w:val="99"/>
    <w:unhideWhenUsed/>
    <w:rsid w:val="009C5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360</Words>
  <Characters>2553</Characters>
  <Application>Microsoft Office Word</Application>
  <DocSecurity>0</DocSecurity>
  <Lines>88</Lines>
  <Paragraphs>74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SIRXSLS002 Follow point-of-sale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