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793B" w:rsidP="00DE7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SIRWFIN001 Complete debtor processes</w:t>
      </w:r>
      <w:r>
        <w:fldChar w:fldCharType="end"/>
      </w:r>
    </w:p>
    <w:p w:rsidR="00DE793B" w:rsidP="00DE793B">
      <w:pPr>
        <w:pStyle w:val="Version"/>
        <w:sectPr w:rsidSect="00CA47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7D6" w:rsidP="00CA47D6">
      <w:pPr>
        <w:pStyle w:val="SuperHeading"/>
      </w:pPr>
      <w:r w:rsidRPr="00CA47D6">
        <w:t>Assessment Requirements for SIRWFIN001 Complete debtor processes</w:t>
      </w:r>
    </w:p>
    <w:p w:rsidR="00000000" w:rsidRPr="00CA47D6" w:rsidP="00CA47D6">
      <w:pPr>
        <w:pStyle w:val="Heading1"/>
      </w:pPr>
      <w:bookmarkStart w:id="1" w:name="O_851053"/>
      <w:bookmarkEnd w:id="1"/>
      <w:r w:rsidRPr="00CA47D6">
        <w:t>Modification History</w:t>
      </w:r>
    </w:p>
    <w:p w:rsidR="00000000" w:rsidRPr="00CA47D6" w:rsidP="00DE793B">
      <w:pPr>
        <w:pStyle w:val="BodyText"/>
      </w:pPr>
      <w:r w:rsidRPr="00CA47D6">
        <w:t>Not applicable.</w:t>
      </w:r>
    </w:p>
    <w:p w:rsidR="00000000" w:rsidRPr="00CA47D6" w:rsidP="00CA47D6">
      <w:pPr>
        <w:pStyle w:val="Heading1"/>
      </w:pPr>
      <w:bookmarkStart w:id="2" w:name="O_851054"/>
      <w:bookmarkEnd w:id="2"/>
      <w:r w:rsidRPr="00CA47D6">
        <w:t>Performance Evidence</w:t>
      </w:r>
    </w:p>
    <w:p w:rsidR="00000000" w:rsidRPr="00CA47D6" w:rsidP="00DE793B">
      <w:pPr>
        <w:pStyle w:val="BodyText"/>
      </w:pPr>
      <w:r w:rsidRPr="00CA47D6">
        <w:t>Evidence of the ability to complete tasks</w:t>
      </w:r>
      <w:r w:rsidRPr="00CA47D6">
        <w:t xml:space="preserve"> outlined in elements and performance criteria of this unit in the context of the job role, and:</w:t>
      </w:r>
    </w:p>
    <w:p w:rsidR="00000000" w:rsidRPr="00CA47D6" w:rsidP="00CA47D6">
      <w:pPr>
        <w:pStyle w:val="ListBullet"/>
      </w:pPr>
      <w:r w:rsidRPr="00CA47D6">
        <w:t>use business technology and systems to:</w:t>
      </w:r>
    </w:p>
    <w:p w:rsidR="00000000" w:rsidRPr="00CA47D6" w:rsidP="00CA47D6">
      <w:pPr>
        <w:pStyle w:val="ListBullet2"/>
      </w:pPr>
      <w:r w:rsidRPr="00CA47D6">
        <w:t>check and confirm current credit level and trading terms and complete routine debt recovery processing for four diffe</w:t>
      </w:r>
      <w:r w:rsidRPr="00CA47D6">
        <w:t>rent customers</w:t>
      </w:r>
    </w:p>
    <w:p w:rsidR="00000000" w:rsidRPr="00CA47D6" w:rsidP="00CA47D6">
      <w:pPr>
        <w:pStyle w:val="ListBullet2"/>
      </w:pPr>
      <w:r w:rsidRPr="00CA47D6">
        <w:t>process customer payments in three different forms</w:t>
      </w:r>
    </w:p>
    <w:p w:rsidR="00000000" w:rsidRPr="00CA47D6" w:rsidP="00CA47D6">
      <w:pPr>
        <w:pStyle w:val="ListBullet2"/>
      </w:pPr>
      <w:r w:rsidRPr="00CA47D6">
        <w:t>follow correct procedure for reporting breaches of customer credit limits and trading terms for three different situations</w:t>
      </w:r>
    </w:p>
    <w:p w:rsidR="00000000" w:rsidRPr="00CA47D6" w:rsidP="00CA47D6">
      <w:pPr>
        <w:pStyle w:val="ListBullet"/>
      </w:pPr>
      <w:r w:rsidRPr="00CA47D6">
        <w:t>provide clear and accurate payment information to four different c</w:t>
      </w:r>
      <w:r w:rsidRPr="00CA47D6">
        <w:t>ustomers.</w:t>
      </w:r>
    </w:p>
    <w:p w:rsidR="00000000" w:rsidRPr="00CA47D6" w:rsidP="00CA47D6">
      <w:pPr>
        <w:pStyle w:val="AllowPageBreak"/>
      </w:pPr>
    </w:p>
    <w:p w:rsidR="00000000" w:rsidRPr="00CA47D6" w:rsidP="00CA47D6">
      <w:pPr>
        <w:pStyle w:val="Heading1"/>
      </w:pPr>
      <w:bookmarkStart w:id="3" w:name="O_851055"/>
      <w:bookmarkEnd w:id="3"/>
      <w:r w:rsidRPr="00CA47D6">
        <w:t>Knowledge Evidence</w:t>
      </w:r>
    </w:p>
    <w:p w:rsidR="00000000" w:rsidRPr="00CA47D6" w:rsidP="00DE793B">
      <w:pPr>
        <w:pStyle w:val="BodyText"/>
      </w:pPr>
      <w:r w:rsidRPr="00CA47D6">
        <w:t>Demonstrated knowledge required to complete the tasks outlined in elements and performance criteria of this unit:</w:t>
      </w:r>
    </w:p>
    <w:p w:rsidR="00000000" w:rsidRPr="00CA47D6" w:rsidP="00CA47D6">
      <w:pPr>
        <w:pStyle w:val="ListBullet"/>
      </w:pPr>
      <w:r w:rsidRPr="00CA47D6">
        <w:t>organisational policies and procedures for:</w:t>
      </w:r>
    </w:p>
    <w:p w:rsidR="00000000" w:rsidRPr="00CA47D6" w:rsidP="00CA47D6">
      <w:pPr>
        <w:pStyle w:val="ListBullet2"/>
      </w:pPr>
      <w:r w:rsidRPr="00CA47D6">
        <w:t>debtor processes:</w:t>
      </w:r>
    </w:p>
    <w:p w:rsidR="00000000" w:rsidRPr="00CA47D6" w:rsidP="00CA47D6">
      <w:pPr>
        <w:pStyle w:val="ListBullet3"/>
      </w:pPr>
      <w:r w:rsidRPr="00CA47D6">
        <w:t xml:space="preserve">use and storage of customer account information </w:t>
      </w:r>
    </w:p>
    <w:p w:rsidR="00000000" w:rsidRPr="00CA47D6" w:rsidP="00CA47D6">
      <w:pPr>
        <w:pStyle w:val="ListBullet3"/>
      </w:pPr>
      <w:r w:rsidRPr="00CA47D6">
        <w:t>establishing customer needs and trading terms</w:t>
      </w:r>
    </w:p>
    <w:p w:rsidR="00000000" w:rsidRPr="00CA47D6" w:rsidP="00CA47D6">
      <w:pPr>
        <w:pStyle w:val="ListBullet3"/>
      </w:pPr>
      <w:r w:rsidRPr="00CA47D6">
        <w:t>identifying credit levels, trading terms and payment status</w:t>
      </w:r>
    </w:p>
    <w:p w:rsidR="00000000" w:rsidRPr="00CA47D6" w:rsidP="00CA47D6">
      <w:pPr>
        <w:pStyle w:val="ListBullet3"/>
      </w:pPr>
      <w:r w:rsidRPr="00CA47D6">
        <w:t>checking debit history for a customer</w:t>
      </w:r>
    </w:p>
    <w:p w:rsidR="00000000" w:rsidRPr="00CA47D6" w:rsidP="00CA47D6">
      <w:pPr>
        <w:pStyle w:val="ListBullet3"/>
      </w:pPr>
      <w:r w:rsidRPr="00CA47D6">
        <w:t>administering and processing debtor accounts</w:t>
      </w:r>
    </w:p>
    <w:p w:rsidR="00000000" w:rsidRPr="00CA47D6" w:rsidP="00CA47D6">
      <w:pPr>
        <w:pStyle w:val="ListBullet3"/>
      </w:pPr>
      <w:r w:rsidRPr="00CA47D6">
        <w:t>different forms of payment</w:t>
      </w:r>
    </w:p>
    <w:p w:rsidR="00000000" w:rsidRPr="00CA47D6" w:rsidP="00CA47D6">
      <w:pPr>
        <w:pStyle w:val="ListBullet3"/>
      </w:pPr>
      <w:r w:rsidRPr="00CA47D6">
        <w:t>processing and debt recovery</w:t>
      </w:r>
    </w:p>
    <w:p w:rsidR="00000000" w:rsidRPr="00CA47D6" w:rsidP="00CA47D6">
      <w:pPr>
        <w:pStyle w:val="ListBullet3"/>
      </w:pPr>
      <w:r w:rsidRPr="00CA47D6">
        <w:t xml:space="preserve">identifying bad debts </w:t>
      </w:r>
    </w:p>
    <w:p w:rsidR="00000000" w:rsidRPr="00CA47D6" w:rsidP="00CA47D6">
      <w:pPr>
        <w:pStyle w:val="ListBullet3"/>
      </w:pPr>
      <w:r w:rsidRPr="00CA47D6">
        <w:t>confirming debt payment terms and procedures</w:t>
      </w:r>
    </w:p>
    <w:p w:rsidR="00000000" w:rsidRPr="00CA47D6" w:rsidP="00CA47D6">
      <w:pPr>
        <w:pStyle w:val="ListBullet3"/>
      </w:pPr>
      <w:r w:rsidRPr="00CA47D6">
        <w:t>debt recovery and financial governance</w:t>
      </w:r>
    </w:p>
    <w:p w:rsidR="00000000" w:rsidRPr="00CA47D6" w:rsidP="00CA47D6">
      <w:pPr>
        <w:pStyle w:val="ListBullet2"/>
      </w:pPr>
      <w:r w:rsidRPr="00CA47D6">
        <w:t>use of technology:</w:t>
      </w:r>
    </w:p>
    <w:p w:rsidR="00000000" w:rsidRPr="00CA47D6" w:rsidP="00CA47D6">
      <w:pPr>
        <w:pStyle w:val="ListBullet3"/>
      </w:pPr>
      <w:r w:rsidRPr="00CA47D6">
        <w:t>privacy, confidentiality and security provisions affecting data storage,</w:t>
      </w:r>
      <w:r w:rsidRPr="00CA47D6">
        <w:t xml:space="preserve"> communication of information and access to technology</w:t>
      </w:r>
    </w:p>
    <w:p w:rsidR="00000000" w:rsidRPr="00CA47D6" w:rsidP="00CA47D6">
      <w:pPr>
        <w:pStyle w:val="ListBullet2"/>
      </w:pPr>
      <w:r w:rsidRPr="00CA47D6">
        <w:t>internal communication:</w:t>
      </w:r>
    </w:p>
    <w:p w:rsidR="00000000" w:rsidRPr="00CA47D6" w:rsidP="00CA47D6">
      <w:pPr>
        <w:pStyle w:val="ListBullet3"/>
      </w:pPr>
      <w:r w:rsidRPr="00CA47D6">
        <w:t>management structure and communication relationships</w:t>
      </w:r>
    </w:p>
    <w:p w:rsidR="00000000" w:rsidRPr="00CA47D6" w:rsidP="00CA47D6">
      <w:pPr>
        <w:pStyle w:val="ListBullet3"/>
      </w:pPr>
      <w:r w:rsidRPr="00CA47D6">
        <w:t>approval processes</w:t>
      </w:r>
    </w:p>
    <w:p w:rsidR="00000000" w:rsidRPr="00CA47D6" w:rsidP="00CA47D6">
      <w:pPr>
        <w:pStyle w:val="ListBullet3"/>
      </w:pPr>
      <w:r w:rsidRPr="00CA47D6">
        <w:t>referring enquiries to more senior colleagues</w:t>
      </w:r>
    </w:p>
    <w:p w:rsidR="00000000" w:rsidRPr="00CA47D6" w:rsidP="00CA47D6">
      <w:pPr>
        <w:pStyle w:val="ListBullet2"/>
      </w:pPr>
      <w:r>
        <w:t>•</w:t>
      </w:r>
      <w:r>
        <w:tab/>
      </w:r>
      <w:r w:rsidRPr="00CA47D6">
        <w:t>external communication:</w:t>
      </w:r>
    </w:p>
    <w:p w:rsidR="00000000" w:rsidRPr="00CA47D6" w:rsidP="00CA47D6">
      <w:pPr>
        <w:pStyle w:val="ListBullet3"/>
      </w:pPr>
      <w:r w:rsidRPr="00CA47D6">
        <w:t>standards for customer interac</w:t>
      </w:r>
      <w:r w:rsidRPr="00CA47D6">
        <w:t>tion</w:t>
      </w:r>
    </w:p>
    <w:p w:rsidR="00000000" w:rsidRPr="00CA47D6" w:rsidP="00CA47D6">
      <w:pPr>
        <w:pStyle w:val="ListBullet"/>
      </w:pPr>
      <w:r w:rsidRPr="00CA47D6">
        <w:t>key aspects of legislation that impact routine debt collection tasks, including:</w:t>
      </w:r>
    </w:p>
    <w:p w:rsidR="00000000" w:rsidRPr="00CA47D6" w:rsidP="00CA47D6">
      <w:pPr>
        <w:pStyle w:val="ListBullet2"/>
      </w:pPr>
      <w:r w:rsidRPr="00CA47D6">
        <w:t>application of Goods and Services Tax (GST)</w:t>
      </w:r>
    </w:p>
    <w:p w:rsidR="00000000" w:rsidRPr="00CA47D6" w:rsidP="00CA47D6">
      <w:pPr>
        <w:pStyle w:val="ListBullet2"/>
      </w:pPr>
      <w:r w:rsidRPr="00CA47D6">
        <w:t>Australian Competition and Consumer Commission (ACCC) provisions</w:t>
      </w:r>
    </w:p>
    <w:p w:rsidR="00000000" w:rsidRPr="00CA47D6" w:rsidP="00CA47D6">
      <w:pPr>
        <w:pStyle w:val="ListBullet2"/>
      </w:pPr>
      <w:r w:rsidRPr="00CA47D6">
        <w:t>Australian Consumer Law</w:t>
      </w:r>
    </w:p>
    <w:p w:rsidR="00000000" w:rsidRPr="00CA47D6" w:rsidP="00CA47D6">
      <w:pPr>
        <w:pStyle w:val="ListBullet2"/>
      </w:pPr>
      <w:r w:rsidRPr="00CA47D6">
        <w:t>privacy legislation</w:t>
      </w:r>
    </w:p>
    <w:p w:rsidR="00000000" w:rsidRPr="00CA47D6" w:rsidP="00CA47D6">
      <w:pPr>
        <w:pStyle w:val="ListBullet"/>
      </w:pPr>
      <w:r w:rsidRPr="00CA47D6">
        <w:t>interpersonal communication techniques:</w:t>
      </w:r>
    </w:p>
    <w:p w:rsidR="00000000" w:rsidRPr="00CA47D6" w:rsidP="00CA47D6">
      <w:pPr>
        <w:pStyle w:val="ListBullet2"/>
      </w:pPr>
      <w:r w:rsidRPr="00CA47D6">
        <w:t>active listening and questioning</w:t>
      </w:r>
    </w:p>
    <w:p w:rsidR="00000000" w:rsidRPr="00CA47D6" w:rsidP="00CA47D6">
      <w:pPr>
        <w:pStyle w:val="ListBullet2"/>
      </w:pPr>
      <w:r w:rsidRPr="00CA47D6">
        <w:t>communication methods which convey information clearly and concisely.</w:t>
      </w:r>
    </w:p>
    <w:p w:rsidR="00000000" w:rsidRPr="00CA47D6" w:rsidP="00CA47D6">
      <w:pPr>
        <w:pStyle w:val="AllowPageBreak"/>
      </w:pPr>
    </w:p>
    <w:p w:rsidR="00000000" w:rsidRPr="00CA47D6" w:rsidP="00CA47D6">
      <w:pPr>
        <w:pStyle w:val="Heading1"/>
      </w:pPr>
      <w:bookmarkStart w:id="4" w:name="O_851056"/>
      <w:bookmarkEnd w:id="4"/>
      <w:r w:rsidRPr="00CA47D6">
        <w:t>Assessment Conditions</w:t>
      </w:r>
    </w:p>
    <w:p w:rsidR="00000000" w:rsidRPr="00CA47D6" w:rsidP="00DE793B">
      <w:pPr>
        <w:pStyle w:val="BodyText"/>
      </w:pPr>
      <w:r w:rsidRPr="00CA47D6">
        <w:t xml:space="preserve">Skills must be demonstrated in a wholesale environment. This can be: </w:t>
      </w:r>
    </w:p>
    <w:p w:rsidR="00000000" w:rsidRPr="00CA47D6" w:rsidP="00CA47D6">
      <w:pPr>
        <w:pStyle w:val="ListBullet"/>
      </w:pPr>
      <w:r w:rsidRPr="00CA47D6">
        <w:t>an industry workplace</w:t>
      </w:r>
    </w:p>
    <w:p w:rsidR="00000000" w:rsidRPr="00CA47D6" w:rsidP="00CA47D6">
      <w:pPr>
        <w:pStyle w:val="ListBullet"/>
      </w:pPr>
      <w:r w:rsidRPr="00CA47D6">
        <w:t xml:space="preserve">a simulated industry environment. </w:t>
      </w:r>
    </w:p>
    <w:p w:rsidR="00000000" w:rsidRPr="00CA47D6" w:rsidP="00CA47D6">
      <w:pPr>
        <w:pStyle w:val="BodyText"/>
      </w:pPr>
    </w:p>
    <w:p w:rsidR="00000000" w:rsidRPr="00CA47D6" w:rsidP="00DE793B">
      <w:pPr>
        <w:pStyle w:val="BodyText"/>
      </w:pPr>
      <w:r w:rsidRPr="00CA47D6">
        <w:t>Assessment must ensure access to:</w:t>
      </w:r>
    </w:p>
    <w:p w:rsidR="00000000" w:rsidRPr="00CA47D6" w:rsidP="00CA47D6">
      <w:pPr>
        <w:pStyle w:val="ListBullet"/>
      </w:pPr>
      <w:r w:rsidRPr="00CA47D6">
        <w:t>a computerised business financial system, associated documentation and customer records</w:t>
      </w:r>
    </w:p>
    <w:p w:rsidR="00000000" w:rsidRPr="00CA47D6" w:rsidP="00CA47D6">
      <w:pPr>
        <w:pStyle w:val="ListBullet"/>
      </w:pPr>
      <w:r w:rsidRPr="00CA47D6">
        <w:t>organisational policies and procedures for financial administration</w:t>
      </w:r>
    </w:p>
    <w:p w:rsidR="00000000" w:rsidRPr="00CA47D6" w:rsidP="00CA47D6">
      <w:pPr>
        <w:pStyle w:val="ListBullet"/>
      </w:pPr>
      <w:r w:rsidRPr="00CA47D6">
        <w:t>custome</w:t>
      </w:r>
      <w:r w:rsidRPr="00CA47D6">
        <w:t>rs these can be:</w:t>
      </w:r>
    </w:p>
    <w:p w:rsidR="00000000" w:rsidRPr="00CA47D6" w:rsidP="00CA47D6">
      <w:pPr>
        <w:pStyle w:val="ListBullet2"/>
      </w:pPr>
      <w:r w:rsidRPr="00CA47D6">
        <w:t>individuals in an industry workplace, or</w:t>
      </w:r>
    </w:p>
    <w:p w:rsidR="00000000" w:rsidRPr="00CA47D6" w:rsidP="00CA47D6">
      <w:pPr>
        <w:pStyle w:val="ListBullet2"/>
      </w:pPr>
      <w:r w:rsidRPr="00CA47D6">
        <w:t>individuals who participate in role plays or simulated activities, set up for the purpose of assessment, in a simulated industry environment.</w:t>
      </w:r>
    </w:p>
    <w:p w:rsidR="00000000" w:rsidRPr="00CA47D6" w:rsidP="00CA47D6">
      <w:pPr>
        <w:pStyle w:val="BodyText"/>
      </w:pPr>
    </w:p>
    <w:p w:rsidR="00000000" w:rsidRPr="00CA47D6" w:rsidP="00DE793B">
      <w:pPr>
        <w:pStyle w:val="BodyText"/>
      </w:pPr>
      <w:r w:rsidRPr="00CA47D6">
        <w:t>Assessors must satisfy the Standards for Registered Training Organisations’ requirements for assessors.</w:t>
      </w:r>
    </w:p>
    <w:p w:rsidR="00000000" w:rsidRPr="00CA47D6" w:rsidP="00CA47D6">
      <w:pPr>
        <w:pStyle w:val="Heading1"/>
      </w:pPr>
      <w:bookmarkStart w:id="5" w:name="O_851059"/>
      <w:bookmarkEnd w:id="5"/>
      <w:r w:rsidRPr="00CA47D6">
        <w:t>Links</w:t>
      </w:r>
    </w:p>
    <w:p w:rsidR="00000000" w:rsidRPr="00CA47D6" w:rsidP="00DE793B">
      <w:pPr>
        <w:pStyle w:val="BodyText"/>
      </w:pPr>
      <w:r w:rsidRPr="00CA47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CC3E2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A47D6" w:rsidP="00CA47D6"/>
    <w:sectPr w:rsidSect="00CA47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7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7D6" w:rsidRPr="00DE793B" w:rsidP="00DE7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7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3B" w:rsidP="00CA47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793B" w:rsidP="00CA47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793B" w:rsidP="00CA47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7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7D6" w:rsidRPr="00DE793B" w:rsidP="00DE7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7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93B" w:rsidRPr="002D2AF8" w:rsidP="00CA47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SIRWFIN001 Complete debtor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DE793B" w:rsidP="00CA47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5A4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5C0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C4A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7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7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7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7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7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7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7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7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7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7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7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7D6"/>
  </w:style>
  <w:style w:type="character" w:customStyle="1" w:styleId="Heading1Char">
    <w:name w:val="Heading 1 Char"/>
    <w:basedOn w:val="DefaultParagraphFont"/>
    <w:link w:val="Heading1"/>
    <w:rsid w:val="00CA47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7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7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7D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47D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47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7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A47D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A47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7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7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7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7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7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7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7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7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7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7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7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7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7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7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7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7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7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47D6"/>
    <w:rPr>
      <w:b/>
      <w:spacing w:val="0"/>
    </w:rPr>
  </w:style>
  <w:style w:type="paragraph" w:customStyle="1" w:styleId="SuperTitle">
    <w:name w:val="SuperTitle"/>
    <w:basedOn w:val="Title"/>
    <w:rsid w:val="00CA47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7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7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7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7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7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7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7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7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7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7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7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47D6"/>
    <w:rPr>
      <w:i/>
    </w:rPr>
  </w:style>
  <w:style w:type="paragraph" w:styleId="Caption">
    <w:name w:val="caption"/>
    <w:basedOn w:val="BodyText"/>
    <w:next w:val="Normal"/>
    <w:qFormat/>
    <w:rsid w:val="00CA47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7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7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7D6"/>
  </w:style>
  <w:style w:type="paragraph" w:styleId="TableofFigures">
    <w:name w:val="table of figures"/>
    <w:basedOn w:val="Normal"/>
    <w:next w:val="Normal"/>
    <w:semiHidden/>
    <w:rsid w:val="00CA47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7D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A47D6"/>
    <w:rPr>
      <w:rFonts w:ascii="Wingdings" w:hAnsi="Wingdings"/>
    </w:rPr>
  </w:style>
  <w:style w:type="paragraph" w:customStyle="1" w:styleId="TableHeading">
    <w:name w:val="Table Heading"/>
    <w:basedOn w:val="HeadingBase"/>
    <w:rsid w:val="00CA47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7D6"/>
    <w:rPr>
      <w:color w:val="0033CC"/>
      <w:u w:val="none"/>
    </w:rPr>
  </w:style>
  <w:style w:type="paragraph" w:customStyle="1" w:styleId="BodyTextRight">
    <w:name w:val="Body Text Right"/>
    <w:basedOn w:val="BodyText"/>
    <w:rsid w:val="00CA47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7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7D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7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7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7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7D6"/>
    <w:rPr>
      <w:sz w:val="32"/>
    </w:rPr>
  </w:style>
  <w:style w:type="paragraph" w:customStyle="1" w:styleId="HeadingProcedure">
    <w:name w:val="Heading Procedure"/>
    <w:basedOn w:val="HeadingBase"/>
    <w:next w:val="Normal"/>
    <w:rsid w:val="00CA47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7D6"/>
    <w:pPr>
      <w:spacing w:before="60" w:after="60"/>
    </w:pPr>
  </w:style>
  <w:style w:type="paragraph" w:styleId="ListContinue">
    <w:name w:val="List Continue"/>
    <w:basedOn w:val="List"/>
    <w:rsid w:val="00CA47D6"/>
    <w:pPr>
      <w:ind w:firstLine="0"/>
    </w:pPr>
  </w:style>
  <w:style w:type="paragraph" w:customStyle="1" w:styleId="ListNote">
    <w:name w:val="List Note"/>
    <w:basedOn w:val="List"/>
    <w:rsid w:val="00CA47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7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7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7D6"/>
    <w:rPr>
      <w:rFonts w:ascii="Courier New" w:hAnsi="Courier New"/>
    </w:rPr>
  </w:style>
  <w:style w:type="paragraph" w:customStyle="1" w:styleId="NoteBullet">
    <w:name w:val="Note Bullet"/>
    <w:basedOn w:val="Note"/>
    <w:rsid w:val="00CA47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7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7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7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7D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47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7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7D6"/>
    <w:rPr>
      <w:b/>
      <w:smallCaps/>
    </w:rPr>
  </w:style>
  <w:style w:type="paragraph" w:customStyle="1" w:styleId="TableListNumber">
    <w:name w:val="Table List Number"/>
    <w:basedOn w:val="ListNumber"/>
    <w:rsid w:val="00CA47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7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7D6"/>
    <w:pPr>
      <w:numPr>
        <w:numId w:val="10"/>
      </w:numPr>
    </w:pPr>
  </w:style>
  <w:style w:type="paragraph" w:customStyle="1" w:styleId="ListAlpha2">
    <w:name w:val="List Alpha 2"/>
    <w:basedOn w:val="List2"/>
    <w:rsid w:val="00CA47D6"/>
    <w:pPr>
      <w:numPr>
        <w:numId w:val="9"/>
      </w:numPr>
    </w:pPr>
  </w:style>
  <w:style w:type="paragraph" w:styleId="List2">
    <w:name w:val="List 2"/>
    <w:basedOn w:val="BodyText"/>
    <w:rsid w:val="00CA47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7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7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7D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A47D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A47D6"/>
    <w:pPr>
      <w:numPr>
        <w:numId w:val="5"/>
      </w:numPr>
    </w:pPr>
  </w:style>
  <w:style w:type="paragraph" w:styleId="ListContinue2">
    <w:name w:val="List Continue 2"/>
    <w:basedOn w:val="List2"/>
    <w:rsid w:val="00CA47D6"/>
    <w:pPr>
      <w:ind w:firstLine="0"/>
    </w:pPr>
  </w:style>
  <w:style w:type="paragraph" w:styleId="ListContinue3">
    <w:name w:val="List Continue 3"/>
    <w:basedOn w:val="List3"/>
    <w:rsid w:val="00CA47D6"/>
    <w:pPr>
      <w:ind w:left="1021" w:firstLine="0"/>
    </w:pPr>
  </w:style>
  <w:style w:type="paragraph" w:styleId="ListContinue4">
    <w:name w:val="List Continue 4"/>
    <w:basedOn w:val="List4"/>
    <w:rsid w:val="00CA47D6"/>
    <w:pPr>
      <w:ind w:firstLine="0"/>
    </w:pPr>
  </w:style>
  <w:style w:type="paragraph" w:styleId="ListContinue5">
    <w:name w:val="List Continue 5"/>
    <w:basedOn w:val="List5"/>
    <w:rsid w:val="00CA47D6"/>
    <w:pPr>
      <w:ind w:firstLine="0"/>
    </w:pPr>
  </w:style>
  <w:style w:type="paragraph" w:styleId="ListNumber3">
    <w:name w:val="List Number 3"/>
    <w:basedOn w:val="List3"/>
    <w:rsid w:val="00CA47D6"/>
    <w:pPr>
      <w:numPr>
        <w:numId w:val="6"/>
      </w:numPr>
    </w:pPr>
  </w:style>
  <w:style w:type="paragraph" w:styleId="ListNumber4">
    <w:name w:val="List Number 4"/>
    <w:basedOn w:val="List4"/>
    <w:rsid w:val="00CA47D6"/>
    <w:pPr>
      <w:numPr>
        <w:numId w:val="7"/>
      </w:numPr>
    </w:pPr>
  </w:style>
  <w:style w:type="paragraph" w:styleId="ListNumber5">
    <w:name w:val="List Number 5"/>
    <w:basedOn w:val="List5"/>
    <w:rsid w:val="00CA47D6"/>
    <w:pPr>
      <w:numPr>
        <w:numId w:val="8"/>
      </w:numPr>
    </w:pPr>
  </w:style>
  <w:style w:type="paragraph" w:styleId="BlockText">
    <w:name w:val="Block Text"/>
    <w:basedOn w:val="Normal"/>
    <w:rsid w:val="00CA47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7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7D6"/>
    <w:rPr>
      <w:sz w:val="16"/>
      <w:vertAlign w:val="superscript"/>
    </w:rPr>
  </w:style>
  <w:style w:type="character" w:customStyle="1" w:styleId="Symbols">
    <w:name w:val="Symbols"/>
    <w:basedOn w:val="DefaultParagraphFont"/>
    <w:rsid w:val="00CA47D6"/>
    <w:rPr>
      <w:rFonts w:ascii="Symbol" w:hAnsi="Symbol"/>
    </w:rPr>
  </w:style>
  <w:style w:type="character" w:customStyle="1" w:styleId="MenuOptions">
    <w:name w:val="Menu Options"/>
    <w:basedOn w:val="DefaultParagraphFont"/>
    <w:rsid w:val="00CA47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7D6"/>
    <w:rPr>
      <w:b/>
    </w:rPr>
  </w:style>
  <w:style w:type="character" w:customStyle="1" w:styleId="Underlined">
    <w:name w:val="Underlined"/>
    <w:basedOn w:val="DefaultParagraphFont"/>
    <w:rsid w:val="00CA47D6"/>
    <w:rPr>
      <w:u w:val="single"/>
    </w:rPr>
  </w:style>
  <w:style w:type="paragraph" w:customStyle="1" w:styleId="TableBodyTextRight">
    <w:name w:val="Table Body Text Right"/>
    <w:basedOn w:val="TableBodyText"/>
    <w:rsid w:val="00CA47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7D6"/>
    <w:rPr>
      <w:sz w:val="18"/>
    </w:rPr>
  </w:style>
  <w:style w:type="paragraph" w:customStyle="1" w:styleId="BodySmallRight">
    <w:name w:val="Body Small Right"/>
    <w:basedOn w:val="BodyTextRight"/>
    <w:rsid w:val="00CA47D6"/>
    <w:rPr>
      <w:sz w:val="18"/>
      <w:szCs w:val="18"/>
    </w:rPr>
  </w:style>
  <w:style w:type="paragraph" w:customStyle="1" w:styleId="MarginEdition">
    <w:name w:val="Margin Edition"/>
    <w:basedOn w:val="MarginNote"/>
    <w:rsid w:val="00CA47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7D6"/>
    <w:rPr>
      <w:sz w:val="2"/>
      <w:szCs w:val="2"/>
    </w:rPr>
  </w:style>
  <w:style w:type="character" w:customStyle="1" w:styleId="Small">
    <w:name w:val="Small"/>
    <w:basedOn w:val="DefaultParagraphFont"/>
    <w:rsid w:val="00CA47D6"/>
    <w:rPr>
      <w:sz w:val="16"/>
    </w:rPr>
  </w:style>
  <w:style w:type="paragraph" w:customStyle="1" w:styleId="WideTable">
    <w:name w:val="Wide Table"/>
    <w:basedOn w:val="Normal"/>
    <w:rsid w:val="00CA47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7D6"/>
  </w:style>
  <w:style w:type="paragraph" w:styleId="Quote">
    <w:name w:val="Quote"/>
    <w:basedOn w:val="Heading1"/>
    <w:link w:val="QuoteChar"/>
    <w:qFormat/>
    <w:rsid w:val="00CA47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7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7D6"/>
    <w:pPr>
      <w:pageBreakBefore/>
    </w:pPr>
  </w:style>
  <w:style w:type="paragraph" w:customStyle="1" w:styleId="Border">
    <w:name w:val="Border"/>
    <w:basedOn w:val="Normal"/>
    <w:qFormat/>
    <w:rsid w:val="00CA47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7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7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7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7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7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7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7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7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7D6"/>
    <w:rPr>
      <w:u w:val="single"/>
    </w:rPr>
  </w:style>
  <w:style w:type="character" w:customStyle="1" w:styleId="BoldandItalics">
    <w:name w:val="Bold and Italics"/>
    <w:qFormat/>
    <w:rsid w:val="00CA47D6"/>
    <w:rPr>
      <w:b/>
      <w:i/>
      <w:u w:val="none"/>
    </w:rPr>
  </w:style>
  <w:style w:type="paragraph" w:styleId="BalloonText">
    <w:name w:val="Balloon Text"/>
    <w:basedOn w:val="Normal"/>
    <w:link w:val="BalloonTextChar"/>
    <w:rsid w:val="00CA47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7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7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7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7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7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7D6"/>
    <w:pPr>
      <w:spacing w:before="0" w:after="0"/>
    </w:pPr>
  </w:style>
  <w:style w:type="paragraph" w:customStyle="1" w:styleId="BodyTextBold">
    <w:name w:val="Body Text Bold"/>
    <w:basedOn w:val="BodyText"/>
    <w:qFormat/>
    <w:rsid w:val="00CA47D6"/>
    <w:rPr>
      <w:b/>
    </w:rPr>
  </w:style>
  <w:style w:type="character" w:styleId="Hyperlink">
    <w:name w:val="Hyperlink"/>
    <w:basedOn w:val="DefaultParagraphFont"/>
    <w:uiPriority w:val="99"/>
    <w:unhideWhenUsed/>
    <w:rsid w:val="00DE79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2677</Characters>
  <Application>Microsoft Office Word</Application>
  <DocSecurity>0</DocSecurity>
  <Lines>76</Lines>
  <Paragraphs>65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SIRWFIN001 Complete debtor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2020-10-21T10:48:00Z</dcterms:created>
  <dcterms:modified xsi:type="dcterms:W3CDTF">2020-10-21T10:48:00Z</dcterms:modified>
</cp:coreProperties>
</file>