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F66" w:rsidP="00086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SIRRRTF001 Balance and secure point-of-sale terminal</w:t>
      </w:r>
      <w:r>
        <w:fldChar w:fldCharType="end"/>
      </w:r>
    </w:p>
    <w:p w:rsidR="00086F66" w:rsidP="00086F66">
      <w:pPr>
        <w:pStyle w:val="Version"/>
        <w:sectPr w:rsidSect="00F97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ED2" w:rsidP="00F97ED2">
      <w:pPr>
        <w:pStyle w:val="SuperHeading"/>
      </w:pPr>
      <w:r w:rsidRPr="00F97ED2">
        <w:t>Assessment Requirements for SIRRRTF001 Balance and secure point-of-sale terminal</w:t>
      </w:r>
    </w:p>
    <w:p w:rsidR="00000000" w:rsidRPr="00F97ED2" w:rsidP="00F97ED2">
      <w:pPr>
        <w:pStyle w:val="Heading1"/>
      </w:pPr>
      <w:bookmarkStart w:id="1" w:name="O_850943"/>
      <w:bookmarkEnd w:id="1"/>
      <w:r w:rsidRPr="00F97ED2">
        <w:t>Modification History</w:t>
      </w:r>
    </w:p>
    <w:p w:rsidR="00000000" w:rsidRPr="00F97ED2" w:rsidP="00086F66">
      <w:pPr>
        <w:pStyle w:val="BodyText"/>
      </w:pPr>
      <w:r w:rsidRPr="00F97ED2">
        <w:t>Not applicable.</w:t>
      </w:r>
    </w:p>
    <w:p w:rsidR="00000000" w:rsidRPr="00F97ED2" w:rsidP="00F97ED2">
      <w:pPr>
        <w:pStyle w:val="Heading1"/>
      </w:pPr>
      <w:bookmarkStart w:id="2" w:name="O_850944"/>
      <w:bookmarkEnd w:id="2"/>
      <w:r w:rsidRPr="00F97ED2">
        <w:t>Performance Evidence</w:t>
      </w:r>
    </w:p>
    <w:p w:rsidR="00000000" w:rsidRPr="00F97ED2" w:rsidP="00086F66">
      <w:pPr>
        <w:pStyle w:val="BodyText"/>
      </w:pPr>
      <w:r w:rsidRPr="00F97ED2">
        <w:t>Evidence of the ability to complete tasks outlined in elements and performance criteria of this unit in the context of the job role, and:</w:t>
      </w:r>
    </w:p>
    <w:p w:rsidR="00000000" w:rsidRPr="00F97ED2" w:rsidP="00F97ED2">
      <w:pPr>
        <w:pStyle w:val="ListBullet"/>
      </w:pPr>
      <w:r w:rsidRPr="00F97ED2">
        <w:t>consistently apply organisational policies and procedures to:</w:t>
      </w:r>
    </w:p>
    <w:p w:rsidR="00000000" w:rsidRPr="00F97ED2" w:rsidP="00F97ED2">
      <w:pPr>
        <w:pStyle w:val="ListBullet2"/>
      </w:pPr>
      <w:r w:rsidRPr="00F97ED2">
        <w:t>balance a register or terminal on three occasions with</w:t>
      </w:r>
      <w:r w:rsidRPr="00F97ED2">
        <w:t xml:space="preserve"> complete accuracy</w:t>
      </w:r>
    </w:p>
    <w:p w:rsidR="00000000" w:rsidRPr="00F97ED2" w:rsidP="00F97ED2">
      <w:pPr>
        <w:pStyle w:val="ListBullet2"/>
      </w:pPr>
      <w:r w:rsidRPr="00F97ED2">
        <w:t>reconcile three different sets of takings comprising both cash and non-cash with complete accuracy</w:t>
      </w:r>
    </w:p>
    <w:p w:rsidR="00000000" w:rsidRPr="00F97ED2" w:rsidP="00F97ED2">
      <w:pPr>
        <w:pStyle w:val="ListBullet2"/>
      </w:pPr>
      <w:r w:rsidRPr="00F97ED2">
        <w:t>identify and resolve three different types of balancing discrepancies</w:t>
      </w:r>
    </w:p>
    <w:p w:rsidR="00000000" w:rsidRPr="00F97ED2" w:rsidP="00F97ED2">
      <w:pPr>
        <w:pStyle w:val="ListBullet2"/>
      </w:pPr>
      <w:r w:rsidRPr="00F97ED2">
        <w:t>process three different types of takings according to organisational</w:t>
      </w:r>
      <w:r w:rsidRPr="00F97ED2">
        <w:t xml:space="preserve"> policies and procedures.</w:t>
      </w:r>
    </w:p>
    <w:p w:rsidR="00000000" w:rsidRPr="00F97ED2" w:rsidP="00F97ED2">
      <w:pPr>
        <w:pStyle w:val="AllowPageBreak"/>
      </w:pPr>
    </w:p>
    <w:p w:rsidR="00000000" w:rsidRPr="00F97ED2" w:rsidP="00F97ED2">
      <w:pPr>
        <w:pStyle w:val="Heading1"/>
      </w:pPr>
      <w:bookmarkStart w:id="3" w:name="O_850945"/>
      <w:bookmarkEnd w:id="3"/>
      <w:r w:rsidRPr="00F97ED2">
        <w:t>Knowledge Evidence</w:t>
      </w:r>
    </w:p>
    <w:p w:rsidR="00000000" w:rsidRPr="00F97ED2" w:rsidP="00086F66">
      <w:pPr>
        <w:pStyle w:val="BodyText"/>
      </w:pPr>
      <w:r w:rsidRPr="00F97ED2">
        <w:t>Demonstrated knowledge required to complete the tasks outlined in elements and performance criteria of this unit:</w:t>
      </w:r>
    </w:p>
    <w:p w:rsidR="00000000" w:rsidRPr="00F97ED2" w:rsidP="00F97ED2">
      <w:pPr>
        <w:pStyle w:val="ListBullet"/>
      </w:pPr>
      <w:r w:rsidRPr="00F97ED2">
        <w:t>role and importance of the balancing process</w:t>
      </w:r>
    </w:p>
    <w:p w:rsidR="00000000" w:rsidRPr="00F97ED2" w:rsidP="00F97ED2">
      <w:pPr>
        <w:pStyle w:val="ListBullet"/>
      </w:pPr>
      <w:r w:rsidRPr="00F97ED2">
        <w:t>techniques for identifying and resolving discrepancies</w:t>
      </w:r>
    </w:p>
    <w:p w:rsidR="00000000" w:rsidRPr="00F97ED2" w:rsidP="00F97ED2">
      <w:pPr>
        <w:pStyle w:val="ListBullet"/>
      </w:pPr>
      <w:r w:rsidRPr="00F97ED2">
        <w:t>functions and procedures for operating point-of-sale equipment:</w:t>
      </w:r>
    </w:p>
    <w:p w:rsidR="00000000" w:rsidRPr="00F97ED2" w:rsidP="00F97ED2">
      <w:pPr>
        <w:pStyle w:val="ListBullet2"/>
      </w:pPr>
      <w:r w:rsidRPr="00F97ED2">
        <w:t>opening and closing</w:t>
      </w:r>
    </w:p>
    <w:p w:rsidR="00000000" w:rsidRPr="00F97ED2" w:rsidP="00F97ED2">
      <w:pPr>
        <w:pStyle w:val="ListBullet2"/>
      </w:pPr>
      <w:r w:rsidRPr="00F97ED2">
        <w:t xml:space="preserve">balancing </w:t>
      </w:r>
    </w:p>
    <w:p w:rsidR="00000000" w:rsidRPr="00F97ED2" w:rsidP="00F97ED2">
      <w:pPr>
        <w:pStyle w:val="ListBullet2"/>
      </w:pPr>
      <w:r w:rsidRPr="00F97ED2">
        <w:t>clearance of terminal and transference of tender</w:t>
      </w:r>
    </w:p>
    <w:p w:rsidR="00000000" w:rsidRPr="00F97ED2" w:rsidP="00F97ED2">
      <w:pPr>
        <w:pStyle w:val="ListBullet2"/>
      </w:pPr>
      <w:r w:rsidRPr="00F97ED2">
        <w:t>recording takings</w:t>
      </w:r>
    </w:p>
    <w:p w:rsidR="00000000" w:rsidRPr="00F97ED2" w:rsidP="00F97ED2">
      <w:pPr>
        <w:pStyle w:val="ListBullet2"/>
      </w:pPr>
      <w:r w:rsidRPr="00F97ED2">
        <w:t>consumables required by system</w:t>
      </w:r>
    </w:p>
    <w:p w:rsidR="00000000" w:rsidRPr="00F97ED2" w:rsidP="00F97ED2">
      <w:pPr>
        <w:pStyle w:val="ListBullet2"/>
      </w:pPr>
      <w:r w:rsidRPr="00F97ED2">
        <w:t>securit</w:t>
      </w:r>
      <w:r w:rsidRPr="00F97ED2">
        <w:t>y</w:t>
      </w:r>
    </w:p>
    <w:p w:rsidR="00000000" w:rsidRPr="00F97ED2" w:rsidP="00F97ED2">
      <w:pPr>
        <w:pStyle w:val="ListBullet"/>
      </w:pPr>
      <w:r w:rsidRPr="00F97ED2">
        <w:t>cash handling procedures:</w:t>
      </w:r>
    </w:p>
    <w:p w:rsidR="00000000" w:rsidRPr="00F97ED2" w:rsidP="00F97ED2">
      <w:pPr>
        <w:pStyle w:val="ListBullet2"/>
      </w:pPr>
      <w:r w:rsidRPr="00F97ED2">
        <w:t>counting cash</w:t>
      </w:r>
    </w:p>
    <w:p w:rsidR="00000000" w:rsidRPr="00F97ED2" w:rsidP="00F97ED2">
      <w:pPr>
        <w:pStyle w:val="ListBullet2"/>
      </w:pPr>
      <w:r w:rsidRPr="00F97ED2">
        <w:t>handling cash floats</w:t>
      </w:r>
    </w:p>
    <w:p w:rsidR="00000000" w:rsidRPr="00F97ED2" w:rsidP="00F97ED2">
      <w:pPr>
        <w:pStyle w:val="ListBullet2"/>
      </w:pPr>
      <w:r w:rsidRPr="00F97ED2">
        <w:t>change required, denominations of change and tendering change</w:t>
      </w:r>
    </w:p>
    <w:p w:rsidR="00000000" w:rsidRPr="00F97ED2" w:rsidP="00F97ED2">
      <w:pPr>
        <w:pStyle w:val="ListBullet2"/>
      </w:pPr>
      <w:r w:rsidRPr="00F97ED2">
        <w:t>security</w:t>
      </w:r>
    </w:p>
    <w:p w:rsidR="00000000" w:rsidRPr="00F97ED2" w:rsidP="00F97ED2">
      <w:pPr>
        <w:pStyle w:val="ListBullet"/>
      </w:pPr>
      <w:r w:rsidRPr="00F97ED2">
        <w:t>organisational policies and procedures for non-cash transactions:</w:t>
      </w:r>
    </w:p>
    <w:p w:rsidR="00000000" w:rsidRPr="00F97ED2" w:rsidP="00F97ED2">
      <w:pPr>
        <w:pStyle w:val="ListBullet2"/>
      </w:pPr>
      <w:r w:rsidRPr="00F97ED2">
        <w:t>credit cards</w:t>
      </w:r>
    </w:p>
    <w:p w:rsidR="00000000" w:rsidRPr="00F97ED2" w:rsidP="00F97ED2">
      <w:pPr>
        <w:pStyle w:val="ListBullet2"/>
      </w:pPr>
      <w:r w:rsidRPr="00F97ED2">
        <w:t>EFTPOS</w:t>
      </w:r>
    </w:p>
    <w:p w:rsidR="00000000" w:rsidRPr="00F97ED2" w:rsidP="00F97ED2">
      <w:pPr>
        <w:pStyle w:val="ListBullet2"/>
      </w:pPr>
      <w:r w:rsidRPr="00F97ED2">
        <w:t>vouchers</w:t>
      </w:r>
    </w:p>
    <w:p w:rsidR="00000000" w:rsidRPr="00F97ED2" w:rsidP="00F97ED2">
      <w:pPr>
        <w:pStyle w:val="ListBullet"/>
      </w:pPr>
      <w:r w:rsidRPr="00F97ED2">
        <w:t>organisational policies and procedures for:</w:t>
      </w:r>
    </w:p>
    <w:p w:rsidR="00000000" w:rsidRPr="00F97ED2" w:rsidP="00F97ED2">
      <w:pPr>
        <w:pStyle w:val="ListBullet2"/>
      </w:pPr>
      <w:r w:rsidRPr="00F97ED2">
        <w:t>exchanges</w:t>
      </w:r>
    </w:p>
    <w:p w:rsidR="00000000" w:rsidRPr="00F97ED2" w:rsidP="00F97ED2">
      <w:pPr>
        <w:pStyle w:val="ListBullet2"/>
      </w:pPr>
      <w:r w:rsidRPr="00F97ED2">
        <w:t>refunds</w:t>
      </w:r>
    </w:p>
    <w:p w:rsidR="00000000" w:rsidRPr="00F97ED2" w:rsidP="00F97ED2">
      <w:pPr>
        <w:pStyle w:val="ListBullet2"/>
      </w:pPr>
      <w:r w:rsidRPr="00F97ED2">
        <w:t>lay-by</w:t>
      </w:r>
    </w:p>
    <w:p w:rsidR="00000000" w:rsidRPr="00F97ED2" w:rsidP="00F97ED2">
      <w:pPr>
        <w:pStyle w:val="ListBullet2"/>
      </w:pPr>
      <w:r w:rsidRPr="00F97ED2">
        <w:t>cash handling</w:t>
      </w:r>
    </w:p>
    <w:p w:rsidR="00000000" w:rsidRPr="00F97ED2" w:rsidP="00F97ED2">
      <w:pPr>
        <w:pStyle w:val="ListBullet2"/>
      </w:pPr>
      <w:r w:rsidRPr="00F97ED2">
        <w:t>cash float</w:t>
      </w:r>
    </w:p>
    <w:p w:rsidR="00000000" w:rsidRPr="00F97ED2" w:rsidP="00F97ED2">
      <w:pPr>
        <w:pStyle w:val="ListBullet2"/>
      </w:pPr>
      <w:r w:rsidRPr="00F97ED2">
        <w:t xml:space="preserve">operation of point-of-sale equipment </w:t>
      </w:r>
    </w:p>
    <w:p w:rsidR="00000000" w:rsidRPr="00F97ED2" w:rsidP="00F97ED2">
      <w:pPr>
        <w:pStyle w:val="ListBullet2"/>
      </w:pPr>
      <w:r w:rsidRPr="00F97ED2">
        <w:t>register or terminal balance</w:t>
      </w:r>
    </w:p>
    <w:p w:rsidR="00000000" w:rsidRPr="00F97ED2" w:rsidP="00F97ED2">
      <w:pPr>
        <w:pStyle w:val="ListBullet2"/>
      </w:pPr>
      <w:r w:rsidRPr="00F97ED2">
        <w:t>security of cash and non cash transactions.</w:t>
      </w:r>
    </w:p>
    <w:p w:rsidR="00000000" w:rsidRPr="00F97ED2" w:rsidP="00F97ED2">
      <w:pPr>
        <w:pStyle w:val="AllowPageBreak"/>
      </w:pPr>
    </w:p>
    <w:p w:rsidR="00000000" w:rsidRPr="00F97ED2" w:rsidP="00F97ED2">
      <w:pPr>
        <w:pStyle w:val="Heading1"/>
      </w:pPr>
      <w:bookmarkStart w:id="4" w:name="O_850946"/>
      <w:bookmarkEnd w:id="4"/>
      <w:r w:rsidRPr="00F97ED2">
        <w:t>Assessment Conditions</w:t>
      </w:r>
    </w:p>
    <w:p w:rsidR="00000000" w:rsidRPr="00F97ED2" w:rsidP="00086F66">
      <w:pPr>
        <w:pStyle w:val="BodyText"/>
      </w:pPr>
      <w:r w:rsidRPr="00F97ED2">
        <w:t>Skills must be demonstrated in a retail environment. This can be:</w:t>
      </w:r>
    </w:p>
    <w:p w:rsidR="00000000" w:rsidRPr="00F97ED2" w:rsidP="00F97ED2">
      <w:pPr>
        <w:pStyle w:val="ListBullet"/>
      </w:pPr>
      <w:r w:rsidRPr="00F97ED2">
        <w:t>an industry workplace</w:t>
      </w:r>
    </w:p>
    <w:p w:rsidR="00000000" w:rsidRPr="00F97ED2" w:rsidP="00F97ED2">
      <w:pPr>
        <w:pStyle w:val="ListBullet"/>
      </w:pPr>
      <w:r w:rsidRPr="00F97ED2">
        <w:t>a simulated industry environment.</w:t>
      </w:r>
    </w:p>
    <w:p w:rsidR="00000000" w:rsidRPr="00F97ED2" w:rsidP="00F97ED2">
      <w:pPr>
        <w:pStyle w:val="BodyText"/>
      </w:pPr>
    </w:p>
    <w:p w:rsidR="00000000" w:rsidRPr="00F97ED2" w:rsidP="00086F66">
      <w:pPr>
        <w:pStyle w:val="BodyText"/>
      </w:pPr>
      <w:r w:rsidRPr="00F97ED2">
        <w:t>Assessment must ensure access to:</w:t>
      </w:r>
    </w:p>
    <w:p w:rsidR="00000000" w:rsidRPr="00F97ED2" w:rsidP="00F97ED2">
      <w:pPr>
        <w:pStyle w:val="ListBullet"/>
      </w:pPr>
      <w:r w:rsidRPr="00F97ED2">
        <w:t xml:space="preserve">organisational policies and procedures related to point-of-sale </w:t>
      </w:r>
    </w:p>
    <w:p w:rsidR="00000000" w:rsidRPr="00F97ED2" w:rsidP="00F97ED2">
      <w:pPr>
        <w:pStyle w:val="ListBullet"/>
      </w:pPr>
      <w:r w:rsidRPr="00F97ED2">
        <w:t>point-of-sale equipment and consumables</w:t>
      </w:r>
    </w:p>
    <w:p w:rsidR="00000000" w:rsidRPr="00F97ED2" w:rsidP="00F97ED2">
      <w:pPr>
        <w:pStyle w:val="ListBullet"/>
      </w:pPr>
      <w:r w:rsidRPr="00F97ED2">
        <w:t>financial transaction documentation for non-cash sales</w:t>
      </w:r>
    </w:p>
    <w:p w:rsidR="00000000" w:rsidRPr="00F97ED2" w:rsidP="00F97ED2">
      <w:pPr>
        <w:pStyle w:val="ListBullet"/>
      </w:pPr>
      <w:r w:rsidRPr="00F97ED2">
        <w:t>cash</w:t>
      </w:r>
    </w:p>
    <w:p w:rsidR="00000000" w:rsidRPr="00F97ED2" w:rsidP="00F97ED2">
      <w:pPr>
        <w:pStyle w:val="ListBullet"/>
      </w:pPr>
      <w:r w:rsidRPr="00F97ED2">
        <w:t>assessment activities that allow the individual to work with commercial speed, timing and productivity.</w:t>
      </w:r>
    </w:p>
    <w:p w:rsidR="00000000" w:rsidRPr="00F97ED2" w:rsidP="00F97ED2">
      <w:pPr>
        <w:pStyle w:val="BodyText"/>
      </w:pPr>
    </w:p>
    <w:p w:rsidR="00000000" w:rsidRPr="00F97ED2" w:rsidP="00086F66">
      <w:pPr>
        <w:pStyle w:val="BodyText"/>
      </w:pPr>
      <w:r w:rsidRPr="00F97ED2">
        <w:t>Assessors must satisfy the Standards for Registered</w:t>
      </w:r>
      <w:r w:rsidRPr="00F97ED2">
        <w:t xml:space="preserve"> Training Organisations’ requirements for assessors.</w:t>
      </w:r>
    </w:p>
    <w:p w:rsidR="00000000" w:rsidRPr="00F97ED2" w:rsidP="00F97ED2">
      <w:pPr>
        <w:pStyle w:val="Heading1"/>
      </w:pPr>
      <w:bookmarkStart w:id="5" w:name="O_850949"/>
      <w:bookmarkEnd w:id="5"/>
      <w:r w:rsidRPr="00F97ED2">
        <w:t>Links</w:t>
      </w:r>
    </w:p>
    <w:p w:rsidR="00000000" w:rsidRPr="00F97ED2" w:rsidP="00086F66">
      <w:pPr>
        <w:pStyle w:val="BodyText"/>
      </w:pPr>
      <w:r w:rsidRPr="00F97E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1139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97ED2" w:rsidP="00F97ED2"/>
    <w:sectPr w:rsidSect="00F97E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D2" w:rsidRPr="00086F66" w:rsidP="00086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66" w:rsidP="00F97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F66" w:rsidP="00F97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86F66" w:rsidP="00F97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ED2" w:rsidRPr="00086F66" w:rsidP="00086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66" w:rsidRPr="002D2AF8" w:rsidP="00F97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SIRRRTF001 Balance and secure point-of-sale terminal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86F66" w:rsidP="00F97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C41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B26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3AF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ED2"/>
  </w:style>
  <w:style w:type="character" w:customStyle="1" w:styleId="Heading1Char">
    <w:name w:val="Heading 1 Char"/>
    <w:basedOn w:val="DefaultParagraphFont"/>
    <w:link w:val="Heading1"/>
    <w:rsid w:val="00F97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E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E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E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7E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7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E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E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7ED2"/>
    <w:rPr>
      <w:b/>
      <w:spacing w:val="0"/>
    </w:rPr>
  </w:style>
  <w:style w:type="paragraph" w:customStyle="1" w:styleId="SuperTitle">
    <w:name w:val="SuperTitle"/>
    <w:basedOn w:val="Title"/>
    <w:rsid w:val="00F97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7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E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ED2"/>
    <w:rPr>
      <w:i/>
    </w:rPr>
  </w:style>
  <w:style w:type="paragraph" w:styleId="Caption">
    <w:name w:val="caption"/>
    <w:basedOn w:val="BodyText"/>
    <w:next w:val="Normal"/>
    <w:qFormat/>
    <w:rsid w:val="00F97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ED2"/>
  </w:style>
  <w:style w:type="paragraph" w:styleId="TableofFigures">
    <w:name w:val="table of figures"/>
    <w:basedOn w:val="Normal"/>
    <w:next w:val="Normal"/>
    <w:semiHidden/>
    <w:rsid w:val="00F97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E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7ED2"/>
    <w:rPr>
      <w:rFonts w:ascii="Wingdings" w:hAnsi="Wingdings"/>
    </w:rPr>
  </w:style>
  <w:style w:type="paragraph" w:customStyle="1" w:styleId="TableHeading">
    <w:name w:val="Table Heading"/>
    <w:basedOn w:val="HeadingBase"/>
    <w:rsid w:val="00F97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ED2"/>
    <w:rPr>
      <w:color w:val="0033CC"/>
      <w:u w:val="none"/>
    </w:rPr>
  </w:style>
  <w:style w:type="paragraph" w:customStyle="1" w:styleId="BodyTextRight">
    <w:name w:val="Body Text Right"/>
    <w:basedOn w:val="BodyText"/>
    <w:rsid w:val="00F97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E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ED2"/>
    <w:rPr>
      <w:sz w:val="32"/>
    </w:rPr>
  </w:style>
  <w:style w:type="paragraph" w:customStyle="1" w:styleId="HeadingProcedure">
    <w:name w:val="Heading Procedure"/>
    <w:basedOn w:val="HeadingBase"/>
    <w:next w:val="Normal"/>
    <w:rsid w:val="00F97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ED2"/>
    <w:pPr>
      <w:spacing w:before="60" w:after="60"/>
    </w:pPr>
  </w:style>
  <w:style w:type="paragraph" w:styleId="ListContinue">
    <w:name w:val="List Continue"/>
    <w:basedOn w:val="List"/>
    <w:rsid w:val="00F97ED2"/>
    <w:pPr>
      <w:ind w:firstLine="0"/>
    </w:pPr>
  </w:style>
  <w:style w:type="paragraph" w:customStyle="1" w:styleId="ListNote">
    <w:name w:val="List Note"/>
    <w:basedOn w:val="List"/>
    <w:rsid w:val="00F97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ED2"/>
    <w:rPr>
      <w:rFonts w:ascii="Courier New" w:hAnsi="Courier New"/>
    </w:rPr>
  </w:style>
  <w:style w:type="paragraph" w:customStyle="1" w:styleId="NoteBullet">
    <w:name w:val="Note Bullet"/>
    <w:basedOn w:val="Note"/>
    <w:rsid w:val="00F97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E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ED2"/>
    <w:rPr>
      <w:b/>
      <w:smallCaps/>
    </w:rPr>
  </w:style>
  <w:style w:type="paragraph" w:customStyle="1" w:styleId="TableListNumber">
    <w:name w:val="Table List Number"/>
    <w:basedOn w:val="ListNumber"/>
    <w:rsid w:val="00F97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ED2"/>
    <w:pPr>
      <w:numPr>
        <w:numId w:val="9"/>
      </w:numPr>
    </w:pPr>
  </w:style>
  <w:style w:type="paragraph" w:customStyle="1" w:styleId="ListAlpha2">
    <w:name w:val="List Alpha 2"/>
    <w:basedOn w:val="List2"/>
    <w:rsid w:val="00F97ED2"/>
    <w:pPr>
      <w:numPr>
        <w:numId w:val="8"/>
      </w:numPr>
    </w:pPr>
  </w:style>
  <w:style w:type="paragraph" w:styleId="List2">
    <w:name w:val="List 2"/>
    <w:basedOn w:val="BodyText"/>
    <w:rsid w:val="00F97E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E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E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E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7ED2"/>
    <w:pPr>
      <w:numPr>
        <w:numId w:val="4"/>
      </w:numPr>
    </w:pPr>
  </w:style>
  <w:style w:type="paragraph" w:styleId="ListContinue2">
    <w:name w:val="List Continue 2"/>
    <w:basedOn w:val="List2"/>
    <w:rsid w:val="00F97ED2"/>
    <w:pPr>
      <w:ind w:firstLine="0"/>
    </w:pPr>
  </w:style>
  <w:style w:type="paragraph" w:styleId="ListContinue3">
    <w:name w:val="List Continue 3"/>
    <w:basedOn w:val="List3"/>
    <w:rsid w:val="00F97ED2"/>
    <w:pPr>
      <w:ind w:left="1021" w:firstLine="0"/>
    </w:pPr>
  </w:style>
  <w:style w:type="paragraph" w:styleId="ListContinue4">
    <w:name w:val="List Continue 4"/>
    <w:basedOn w:val="List4"/>
    <w:rsid w:val="00F97ED2"/>
    <w:pPr>
      <w:ind w:firstLine="0"/>
    </w:pPr>
  </w:style>
  <w:style w:type="paragraph" w:styleId="ListContinue5">
    <w:name w:val="List Continue 5"/>
    <w:basedOn w:val="List5"/>
    <w:rsid w:val="00F97ED2"/>
    <w:pPr>
      <w:ind w:firstLine="0"/>
    </w:pPr>
  </w:style>
  <w:style w:type="paragraph" w:styleId="ListNumber3">
    <w:name w:val="List Number 3"/>
    <w:basedOn w:val="List3"/>
    <w:rsid w:val="00F97ED2"/>
    <w:pPr>
      <w:numPr>
        <w:numId w:val="5"/>
      </w:numPr>
    </w:pPr>
  </w:style>
  <w:style w:type="paragraph" w:styleId="ListNumber4">
    <w:name w:val="List Number 4"/>
    <w:basedOn w:val="List4"/>
    <w:rsid w:val="00F97ED2"/>
    <w:pPr>
      <w:numPr>
        <w:numId w:val="6"/>
      </w:numPr>
    </w:pPr>
  </w:style>
  <w:style w:type="paragraph" w:styleId="ListNumber5">
    <w:name w:val="List Number 5"/>
    <w:basedOn w:val="List5"/>
    <w:rsid w:val="00F97ED2"/>
    <w:pPr>
      <w:numPr>
        <w:numId w:val="7"/>
      </w:numPr>
    </w:pPr>
  </w:style>
  <w:style w:type="paragraph" w:styleId="BlockText">
    <w:name w:val="Block Text"/>
    <w:basedOn w:val="Normal"/>
    <w:rsid w:val="00F97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ED2"/>
    <w:rPr>
      <w:sz w:val="16"/>
      <w:vertAlign w:val="superscript"/>
    </w:rPr>
  </w:style>
  <w:style w:type="character" w:customStyle="1" w:styleId="Symbols">
    <w:name w:val="Symbols"/>
    <w:basedOn w:val="DefaultParagraphFont"/>
    <w:rsid w:val="00F97ED2"/>
    <w:rPr>
      <w:rFonts w:ascii="Symbol" w:hAnsi="Symbol"/>
    </w:rPr>
  </w:style>
  <w:style w:type="character" w:customStyle="1" w:styleId="MenuOptions">
    <w:name w:val="Menu Options"/>
    <w:basedOn w:val="DefaultParagraphFont"/>
    <w:rsid w:val="00F97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ED2"/>
    <w:rPr>
      <w:b/>
    </w:rPr>
  </w:style>
  <w:style w:type="character" w:customStyle="1" w:styleId="Underlined">
    <w:name w:val="Underlined"/>
    <w:basedOn w:val="DefaultParagraphFont"/>
    <w:rsid w:val="00F97ED2"/>
    <w:rPr>
      <w:u w:val="single"/>
    </w:rPr>
  </w:style>
  <w:style w:type="paragraph" w:customStyle="1" w:styleId="TableBodyTextRight">
    <w:name w:val="Table Body Text Right"/>
    <w:basedOn w:val="TableBodyText"/>
    <w:rsid w:val="00F97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ED2"/>
    <w:rPr>
      <w:sz w:val="18"/>
    </w:rPr>
  </w:style>
  <w:style w:type="paragraph" w:customStyle="1" w:styleId="BodySmallRight">
    <w:name w:val="Body Small Right"/>
    <w:basedOn w:val="BodyTextRight"/>
    <w:rsid w:val="00F97ED2"/>
    <w:rPr>
      <w:sz w:val="18"/>
      <w:szCs w:val="18"/>
    </w:rPr>
  </w:style>
  <w:style w:type="paragraph" w:customStyle="1" w:styleId="MarginEdition">
    <w:name w:val="Margin Edition"/>
    <w:basedOn w:val="MarginNote"/>
    <w:rsid w:val="00F97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ED2"/>
    <w:rPr>
      <w:sz w:val="2"/>
      <w:szCs w:val="2"/>
    </w:rPr>
  </w:style>
  <w:style w:type="character" w:customStyle="1" w:styleId="Small">
    <w:name w:val="Small"/>
    <w:basedOn w:val="DefaultParagraphFont"/>
    <w:rsid w:val="00F97ED2"/>
    <w:rPr>
      <w:sz w:val="16"/>
    </w:rPr>
  </w:style>
  <w:style w:type="paragraph" w:customStyle="1" w:styleId="WideTable">
    <w:name w:val="Wide Table"/>
    <w:basedOn w:val="Normal"/>
    <w:rsid w:val="00F97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ED2"/>
  </w:style>
  <w:style w:type="paragraph" w:styleId="Quote">
    <w:name w:val="Quote"/>
    <w:basedOn w:val="Heading1"/>
    <w:link w:val="QuoteChar"/>
    <w:qFormat/>
    <w:rsid w:val="00F97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ED2"/>
    <w:pPr>
      <w:pageBreakBefore/>
    </w:pPr>
  </w:style>
  <w:style w:type="paragraph" w:customStyle="1" w:styleId="Border">
    <w:name w:val="Border"/>
    <w:basedOn w:val="Normal"/>
    <w:qFormat/>
    <w:rsid w:val="00F97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ED2"/>
    <w:rPr>
      <w:u w:val="single"/>
    </w:rPr>
  </w:style>
  <w:style w:type="character" w:customStyle="1" w:styleId="BoldandItalics">
    <w:name w:val="Bold and Italics"/>
    <w:qFormat/>
    <w:rsid w:val="00F97ED2"/>
    <w:rPr>
      <w:b/>
      <w:i/>
      <w:u w:val="none"/>
    </w:rPr>
  </w:style>
  <w:style w:type="paragraph" w:styleId="BalloonText">
    <w:name w:val="Balloon Text"/>
    <w:basedOn w:val="Normal"/>
    <w:link w:val="BalloonTextChar"/>
    <w:rsid w:val="00F97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E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E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ED2"/>
    <w:pPr>
      <w:spacing w:before="0" w:after="0"/>
    </w:pPr>
  </w:style>
  <w:style w:type="paragraph" w:customStyle="1" w:styleId="BodyTextBold">
    <w:name w:val="Body Text Bold"/>
    <w:basedOn w:val="BodyText"/>
    <w:qFormat/>
    <w:rsid w:val="00F97ED2"/>
    <w:rPr>
      <w:b/>
    </w:rPr>
  </w:style>
  <w:style w:type="character" w:styleId="Hyperlink">
    <w:name w:val="Hyperlink"/>
    <w:basedOn w:val="DefaultParagraphFont"/>
    <w:uiPriority w:val="99"/>
    <w:unhideWhenUsed/>
    <w:rsid w:val="00086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2201</Characters>
  <Application>Microsoft Office Word</Application>
  <DocSecurity>0</DocSecurity>
  <Lines>75</Lines>
  <Paragraphs>64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SIRRRTF001 Balance and secure point-of-sale terminal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