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BEB" w:rsidP="006D0BEB">
      <w:pPr>
        <w:pStyle w:val="Title"/>
      </w:pPr>
      <w:r>
        <w:fldChar w:fldCharType="begin"/>
      </w:r>
      <w:r>
        <w:instrText xml:space="preserve"> TITLE   \* MERGEFORMAT </w:instrText>
      </w:r>
      <w:r>
        <w:fldChar w:fldCharType="separate"/>
      </w:r>
      <w:r>
        <w:t>SIRCIND002 Support the supply of Pharmacy Medicines and Pharmacist Only Medicines</w:t>
      </w:r>
      <w:r>
        <w:fldChar w:fldCharType="end"/>
      </w:r>
    </w:p>
    <w:p w:rsidR="006D0BEB" w:rsidP="006D0BEB">
      <w:pPr>
        <w:pStyle w:val="Version"/>
        <w:sectPr w:rsidSect="002F0B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BAF" w:rsidP="002F0BAF">
      <w:pPr>
        <w:pStyle w:val="SuperHeading"/>
      </w:pPr>
      <w:r w:rsidRPr="002F0BAF">
        <w:t>SIRCIND002 Support the supply of Pharmacy Medicines and Pharmacist Only Medicines</w:t>
      </w:r>
    </w:p>
    <w:p w:rsidR="00000000" w:rsidRPr="002F0BAF" w:rsidP="002F0BAF">
      <w:pPr>
        <w:pStyle w:val="Heading1"/>
      </w:pPr>
      <w:bookmarkStart w:id="1" w:name="O_793781"/>
      <w:bookmarkEnd w:id="1"/>
      <w:r w:rsidRPr="002F0BAF">
        <w:t>Modification History</w:t>
      </w:r>
    </w:p>
    <w:p w:rsidR="00000000" w:rsidRPr="002F0BAF" w:rsidP="006D0BEB">
      <w:pPr>
        <w:pStyle w:val="BodyText"/>
      </w:pPr>
      <w:r w:rsidRPr="002F0BAF">
        <w:t>Not applicable.</w:t>
      </w:r>
    </w:p>
    <w:p w:rsidR="00000000" w:rsidRPr="002F0BAF" w:rsidP="002F0BAF">
      <w:pPr>
        <w:pStyle w:val="Heading1"/>
      </w:pPr>
      <w:bookmarkStart w:id="2" w:name="O_793782"/>
      <w:bookmarkEnd w:id="2"/>
      <w:r w:rsidRPr="002F0BAF">
        <w:t>Application</w:t>
      </w:r>
    </w:p>
    <w:p w:rsidR="00000000" w:rsidRPr="002F0BAF" w:rsidP="006D0BEB">
      <w:pPr>
        <w:pStyle w:val="BodyText"/>
      </w:pPr>
      <w:r w:rsidRPr="002F0BAF">
        <w:t>This unit describes the performance outcomes, skills and knowledge required to source and use information on regulatory information and pharmacy compliance procedures so that requirements can be followed throughout customer transactions involving the suppl</w:t>
      </w:r>
      <w:r w:rsidRPr="002F0BAF">
        <w:t>y of Pharmacy Medicines (S2) and Pharmacist Only Medicines (S3). Requests for therapeutic advice or the supply of Pharmacist Only Medicines (S3) must be referred to the pharmacist.</w:t>
      </w:r>
    </w:p>
    <w:p w:rsidR="00000000" w:rsidRPr="002F0BAF" w:rsidP="006D0BEB">
      <w:pPr>
        <w:pStyle w:val="BodyText"/>
      </w:pPr>
      <w:r w:rsidRPr="002F0BAF">
        <w:t>This unit underpins effective performance for pharmacy or dispensary assis</w:t>
      </w:r>
      <w:r w:rsidRPr="002F0BAF">
        <w:t>tant roles in a community pharmacy. When supplying Pharmacy Medicines (S2) and Pharmacist Only Medicines (S3) they work under the direct supervision of a pharmacist.</w:t>
      </w:r>
    </w:p>
    <w:p w:rsidR="00000000" w:rsidRPr="002F0BAF" w:rsidP="006D0BEB">
      <w:pPr>
        <w:pStyle w:val="BodyText"/>
      </w:pPr>
      <w:r w:rsidRPr="002F0BAF">
        <w:t>This unit incorporates the requirement for pharmacy and dispensary assistants to comply w</w:t>
      </w:r>
      <w:r w:rsidRPr="002F0BAF">
        <w:t xml:space="preserve">ith federal, state and territory law and Pharmacy Board of Australia Guidelines for supplying scheduled Pharmacy Medicines (S2) and Pharmacist Only Medicines (S3). At the time of publication, they are not, however, required to hold an occupational licence </w:t>
      </w:r>
      <w:r w:rsidRPr="002F0BAF">
        <w:t>or to be certified as competent in this unit to supply scheduled medicines.</w:t>
      </w:r>
    </w:p>
    <w:p w:rsidR="00000000" w:rsidRPr="002F0BAF" w:rsidP="002F0BAF">
      <w:pPr>
        <w:pStyle w:val="Heading1"/>
      </w:pPr>
      <w:bookmarkStart w:id="3" w:name="O_793783"/>
      <w:bookmarkEnd w:id="3"/>
      <w:r w:rsidRPr="002F0BAF">
        <w:t>Pre-requisite Unit</w:t>
      </w:r>
    </w:p>
    <w:p w:rsidR="00000000" w:rsidRPr="002F0BAF" w:rsidP="006D0BEB">
      <w:pPr>
        <w:pStyle w:val="BodyText"/>
      </w:pPr>
      <w:r w:rsidRPr="002F0BAF">
        <w:t>Nil</w:t>
      </w:r>
    </w:p>
    <w:p w:rsidR="00000000" w:rsidRPr="002F0BAF" w:rsidP="002F0BAF">
      <w:pPr>
        <w:pStyle w:val="Heading1"/>
      </w:pPr>
      <w:bookmarkStart w:id="4" w:name="O_793784"/>
      <w:bookmarkEnd w:id="4"/>
      <w:r w:rsidRPr="002F0BAF">
        <w:t>Competency Field</w:t>
      </w:r>
    </w:p>
    <w:p w:rsidR="00000000" w:rsidRPr="002F0BAF" w:rsidP="006D0BEB">
      <w:pPr>
        <w:pStyle w:val="BodyText"/>
      </w:pPr>
      <w:r w:rsidRPr="002F0BAF">
        <w:t>Working in Industry</w:t>
      </w:r>
    </w:p>
    <w:p w:rsidR="00000000" w:rsidRPr="002F0BAF" w:rsidP="002F0BAF">
      <w:pPr>
        <w:pStyle w:val="Heading1"/>
      </w:pPr>
      <w:bookmarkStart w:id="5" w:name="O_793785"/>
      <w:bookmarkEnd w:id="5"/>
      <w:r w:rsidRPr="002F0BAF">
        <w:t>Unit Sector</w:t>
      </w:r>
    </w:p>
    <w:p w:rsidR="00000000" w:rsidRPr="002F0BAF" w:rsidP="006D0BEB">
      <w:pPr>
        <w:pStyle w:val="BodyText"/>
      </w:pPr>
      <w:r w:rsidRPr="002F0BAF">
        <w:t>Community Pharmacy</w:t>
      </w:r>
    </w:p>
    <w:p w:rsidR="00000000" w:rsidRPr="002F0BAF" w:rsidP="002F0BAF">
      <w:pPr>
        <w:pStyle w:val="Heading1"/>
      </w:pPr>
      <w:bookmarkStart w:id="6" w:name="O_793786"/>
      <w:bookmarkEnd w:id="6"/>
      <w:r w:rsidRPr="002F0BAF">
        <w:t>Elements and Performa</w:t>
      </w:r>
      <w:r w:rsidRPr="002F0BAF">
        <w:t>nce Criteria</w:t>
      </w:r>
    </w:p>
    <w:tbl>
      <w:tblPr>
        <w:tblW w:w="0" w:type="auto"/>
        <w:tblCellMar>
          <w:left w:w="62" w:type="dxa"/>
          <w:right w:w="62" w:type="dxa"/>
        </w:tblCellMar>
        <w:tblLook w:val="0000"/>
      </w:tblPr>
      <w:tblGrid>
        <w:gridCol w:w="4598"/>
        <w:gridCol w:w="4598"/>
      </w:tblGrid>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0BAF" w:rsidP="002F0BAF">
            <w:pPr>
              <w:pStyle w:val="BodyText"/>
            </w:pPr>
            <w:r w:rsidRPr="002F0BA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rPr>
                <w:rStyle w:val="SpecialBold"/>
              </w:rPr>
              <w:t>PERFORMANCE CRITERIA</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t>Performance criteria describe the performance needed to demonstrate achievement of the element.</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List"/>
              <w:rPr>
                <w:lang w:val="en-NZ"/>
              </w:rPr>
            </w:pPr>
            <w:r w:rsidRPr="002F0BAF">
              <w:t>1.</w:t>
            </w:r>
            <w:r w:rsidRPr="002F0BAF">
              <w:tab/>
            </w:r>
            <w:r w:rsidRPr="002F0BAF">
              <w:t>Source and use information on compliance requirements for supplying scheduled medicines.</w:t>
            </w:r>
          </w:p>
        </w:tc>
        <w:tc>
          <w:tcPr>
            <w:tcW w:w="0" w:type="auto"/>
            <w:tcBorders>
              <w:top w:val="nil"/>
              <w:left w:val="nil"/>
              <w:bottom w:val="nil"/>
              <w:right w:val="nil"/>
            </w:tcBorders>
            <w:tcMar>
              <w:top w:w="0" w:type="dxa"/>
              <w:left w:w="62" w:type="dxa"/>
              <w:bottom w:w="0" w:type="dxa"/>
              <w:right w:w="62" w:type="dxa"/>
            </w:tcMar>
          </w:tcPr>
          <w:p w:rsidR="00000000" w:rsidRPr="002F0BAF" w:rsidP="002F0BAF">
            <w:pPr>
              <w:pStyle w:val="List"/>
            </w:pPr>
            <w:r w:rsidRPr="002F0BAF">
              <w:t>1.1.Obtain and interpret information on key legal requirements and industry guidelines for supply of Pharmacy Medicines (S2) and Pharmacist Only Medicines (S3) and pro</w:t>
            </w:r>
            <w:r w:rsidRPr="002F0BAF">
              <w:t>ducts.</w:t>
            </w:r>
          </w:p>
          <w:p w:rsidR="00000000" w:rsidP="002F0BAF">
            <w:pPr>
              <w:pStyle w:val="List"/>
              <w:rPr>
                <w:lang w:val="en-NZ"/>
              </w:rPr>
            </w:pPr>
            <w:r w:rsidRPr="002F0BAF">
              <w:t>1.2.Obtain and interpret organisational procedures for supplying Pharmacy Medicines (S2) and Pharmacist Only Medicines (S3) scheduled items.</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List"/>
              <w:rPr>
                <w:lang w:val="en-NZ"/>
              </w:rPr>
            </w:pPr>
            <w:r w:rsidRPr="002F0BAF">
              <w:t>2.</w:t>
            </w:r>
            <w:r w:rsidRPr="002F0BAF">
              <w:tab/>
              <w:t>Establish requirements for product locations.</w:t>
            </w:r>
          </w:p>
        </w:tc>
        <w:tc>
          <w:tcPr>
            <w:tcW w:w="0" w:type="auto"/>
            <w:tcBorders>
              <w:top w:val="nil"/>
              <w:left w:val="nil"/>
              <w:bottom w:val="nil"/>
              <w:right w:val="nil"/>
            </w:tcBorders>
            <w:tcMar>
              <w:top w:w="0" w:type="dxa"/>
              <w:left w:w="62" w:type="dxa"/>
              <w:bottom w:w="0" w:type="dxa"/>
              <w:right w:w="62" w:type="dxa"/>
            </w:tcMar>
          </w:tcPr>
          <w:p w:rsidR="00000000" w:rsidRPr="002F0BAF" w:rsidP="002F0BAF">
            <w:pPr>
              <w:pStyle w:val="List"/>
            </w:pPr>
            <w:r w:rsidRPr="002F0BAF">
              <w:t>2.1.Identify common medicine categories for Pharmacy Medic</w:t>
            </w:r>
            <w:r w:rsidRPr="002F0BAF">
              <w:t>ines (S2) and Pharmacist Only Medicines (S3).</w:t>
            </w:r>
          </w:p>
          <w:p w:rsidR="00000000" w:rsidRPr="002F0BAF" w:rsidP="002F0BAF">
            <w:pPr>
              <w:pStyle w:val="List"/>
            </w:pPr>
            <w:r w:rsidRPr="002F0BAF">
              <w:t>2.2.Identify storage requirements for scheduled pharmacy items according to the Standard for the Uniform Scheduling of Medicines and Poisons (SUSMP).</w:t>
            </w:r>
          </w:p>
          <w:p w:rsidR="00000000" w:rsidP="002F0BAF">
            <w:pPr>
              <w:pStyle w:val="List"/>
              <w:rPr>
                <w:lang w:val="en-NZ"/>
              </w:rPr>
            </w:pPr>
            <w:r w:rsidRPr="002F0BAF">
              <w:t>2.3.Interpret requirements for product placement and adverti</w:t>
            </w:r>
            <w:r w:rsidRPr="002F0BAF">
              <w:t>sing of Pharmacy Medicines (S2).</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List"/>
              <w:rPr>
                <w:lang w:val="en-NZ"/>
              </w:rPr>
            </w:pPr>
            <w:r w:rsidRPr="002F0BAF">
              <w:t>3.</w:t>
            </w:r>
            <w:r w:rsidRPr="002F0BAF">
              <w:tab/>
              <w:t>Determine requirements for assessing customer needs.</w:t>
            </w:r>
          </w:p>
        </w:tc>
        <w:tc>
          <w:tcPr>
            <w:tcW w:w="0" w:type="auto"/>
            <w:tcBorders>
              <w:top w:val="nil"/>
              <w:left w:val="nil"/>
              <w:bottom w:val="nil"/>
              <w:right w:val="nil"/>
            </w:tcBorders>
            <w:tcMar>
              <w:top w:w="0" w:type="dxa"/>
              <w:left w:w="62" w:type="dxa"/>
              <w:bottom w:w="0" w:type="dxa"/>
              <w:right w:w="62" w:type="dxa"/>
            </w:tcMar>
          </w:tcPr>
          <w:p w:rsidR="00000000" w:rsidRPr="002F0BAF" w:rsidP="002F0BAF">
            <w:pPr>
              <w:pStyle w:val="List"/>
            </w:pPr>
            <w:r w:rsidRPr="002F0BAF">
              <w:t>3.1.Interpret requirements for protecting and respecting customer privacy.</w:t>
            </w:r>
          </w:p>
          <w:p w:rsidR="00000000" w:rsidRPr="002F0BAF" w:rsidP="002F0BAF">
            <w:pPr>
              <w:pStyle w:val="List"/>
            </w:pPr>
            <w:r w:rsidRPr="002F0BAF">
              <w:t>3.2.Determine what questions must be asked to collect information about customer needs.</w:t>
            </w:r>
          </w:p>
          <w:p w:rsidR="00000000" w:rsidRPr="002F0BAF" w:rsidP="002F0BAF">
            <w:pPr>
              <w:pStyle w:val="List"/>
            </w:pPr>
            <w:r w:rsidRPr="002F0BAF">
              <w:t>3.3</w:t>
            </w:r>
            <w:r w:rsidRPr="002F0BAF">
              <w:t>.Recognise requirement to refer all customer requests for Pharmacist Only Medicines (S3) to pharmacist.</w:t>
            </w:r>
          </w:p>
          <w:p w:rsidR="00000000" w:rsidP="002F0BAF">
            <w:pPr>
              <w:pStyle w:val="List"/>
              <w:rPr>
                <w:lang w:val="en-NZ"/>
              </w:rPr>
            </w:pPr>
            <w:r w:rsidRPr="002F0BAF">
              <w:t>3.4.Identify other triggers for referral to pharmacist.</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List"/>
              <w:rPr>
                <w:lang w:val="en-NZ"/>
              </w:rPr>
            </w:pPr>
            <w:r w:rsidRPr="002F0BAF">
              <w:t>4.</w:t>
            </w:r>
            <w:r w:rsidRPr="002F0BAF">
              <w:tab/>
              <w:t>Identify role in supply of scheduled medicines.</w:t>
            </w:r>
          </w:p>
        </w:tc>
        <w:tc>
          <w:tcPr>
            <w:tcW w:w="0" w:type="auto"/>
            <w:tcBorders>
              <w:top w:val="nil"/>
              <w:left w:val="nil"/>
              <w:bottom w:val="nil"/>
              <w:right w:val="nil"/>
            </w:tcBorders>
            <w:tcMar>
              <w:top w:w="0" w:type="dxa"/>
              <w:left w:w="62" w:type="dxa"/>
              <w:bottom w:w="0" w:type="dxa"/>
              <w:right w:w="62" w:type="dxa"/>
            </w:tcMar>
          </w:tcPr>
          <w:p w:rsidR="00000000" w:rsidRPr="002F0BAF" w:rsidP="002F0BAF">
            <w:pPr>
              <w:pStyle w:val="List"/>
            </w:pPr>
            <w:r w:rsidRPr="002F0BAF">
              <w:t>4.1.Identify the importance of following org</w:t>
            </w:r>
            <w:r w:rsidRPr="002F0BAF">
              <w:t>anisational procedures for the supply of scheduled medicines.</w:t>
            </w:r>
          </w:p>
          <w:p w:rsidR="00000000" w:rsidRPr="002F0BAF" w:rsidP="002F0BAF">
            <w:pPr>
              <w:pStyle w:val="List"/>
            </w:pPr>
            <w:r w:rsidRPr="002F0BAF">
              <w:t>4.2.Recognise role boundaries in recommending Pharmacy Medicines (S2) and unscheduled medicines, products, equipment and aids appropriate to customer needs.</w:t>
            </w:r>
          </w:p>
          <w:p w:rsidR="00000000" w:rsidRPr="002F0BAF" w:rsidP="002F0BAF">
            <w:pPr>
              <w:pStyle w:val="List"/>
            </w:pPr>
            <w:r w:rsidRPr="002F0BAF">
              <w:t>4.3.Determine r</w:t>
            </w:r>
            <w:r w:rsidRPr="002F0BAF">
              <w:t>equirements for finalising supply of Pharmacist Only Medicines (S3) and other products after pharmacist provision of therapeutic advice.</w:t>
            </w:r>
          </w:p>
        </w:tc>
      </w:tr>
    </w:tbl>
    <w:p w:rsidR="00000000" w:rsidRPr="002F0BAF" w:rsidP="002F0BAF">
      <w:pPr>
        <w:pStyle w:val="List"/>
      </w:pPr>
    </w:p>
    <w:p w:rsidR="00000000" w:rsidRPr="002F0BAF" w:rsidP="002F0BAF">
      <w:pPr>
        <w:pStyle w:val="AllowPageBreak"/>
      </w:pPr>
    </w:p>
    <w:p w:rsidR="00000000" w:rsidRPr="002F0BAF" w:rsidP="002F0BAF">
      <w:pPr>
        <w:pStyle w:val="Heading1"/>
      </w:pPr>
      <w:bookmarkStart w:id="7" w:name="O_793787"/>
      <w:bookmarkEnd w:id="7"/>
      <w:r w:rsidRPr="002F0BAF">
        <w:t>Foundation Skills</w:t>
      </w:r>
    </w:p>
    <w:tbl>
      <w:tblPr>
        <w:tblW w:w="0" w:type="auto"/>
        <w:tblCellMar>
          <w:left w:w="62" w:type="dxa"/>
          <w:right w:w="62" w:type="dxa"/>
        </w:tblCellMar>
        <w:tblLook w:val="0000"/>
      </w:tblPr>
      <w:tblGrid>
        <w:gridCol w:w="4598"/>
        <w:gridCol w:w="4598"/>
      </w:tblGrid>
      <w:tr w:rsidTr="006D0B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t>Foundation skills essential to performance in this unit, but not explicit in the p</w:t>
            </w:r>
            <w:r w:rsidRPr="002F0BAF">
              <w:t>erformance criteria are listed here, along with a brief context statement.</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t>Reading skills to:</w:t>
            </w:r>
          </w:p>
        </w:tc>
        <w:tc>
          <w:tcPr>
            <w:tcW w:w="0" w:type="auto"/>
            <w:tcBorders>
              <w:top w:val="nil"/>
              <w:left w:val="nil"/>
              <w:bottom w:val="nil"/>
              <w:right w:val="nil"/>
            </w:tcBorders>
            <w:tcMar>
              <w:top w:w="0" w:type="dxa"/>
              <w:left w:w="62" w:type="dxa"/>
              <w:bottom w:w="0" w:type="dxa"/>
              <w:right w:w="62" w:type="dxa"/>
            </w:tcMar>
          </w:tcPr>
          <w:p w:rsidR="00000000" w:rsidP="002F0BAF">
            <w:pPr>
              <w:pStyle w:val="ListBullet"/>
              <w:rPr>
                <w:lang w:val="en-NZ"/>
              </w:rPr>
            </w:pPr>
            <w:r w:rsidRPr="002F0BAF">
              <w:t xml:space="preserve">interpret both familiar and unfamiliar, and sometimes complex documentation. </w:t>
            </w:r>
          </w:p>
        </w:tc>
      </w:tr>
      <w:tr w:rsidTr="006D0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AF">
            <w:pPr>
              <w:pStyle w:val="BodyText"/>
              <w:rPr>
                <w:lang w:val="en-NZ"/>
              </w:rPr>
            </w:pPr>
            <w:r w:rsidRPr="002F0BAF">
              <w:t>Technology skills to:</w:t>
            </w:r>
          </w:p>
        </w:tc>
        <w:tc>
          <w:tcPr>
            <w:tcW w:w="0" w:type="auto"/>
            <w:tcBorders>
              <w:top w:val="nil"/>
              <w:left w:val="nil"/>
              <w:bottom w:val="nil"/>
              <w:right w:val="nil"/>
            </w:tcBorders>
            <w:tcMar>
              <w:top w:w="0" w:type="dxa"/>
              <w:left w:w="62" w:type="dxa"/>
              <w:bottom w:w="0" w:type="dxa"/>
              <w:right w:w="62" w:type="dxa"/>
            </w:tcMar>
          </w:tcPr>
          <w:p w:rsidR="00000000" w:rsidRPr="002F0BAF" w:rsidP="002F0BAF">
            <w:pPr>
              <w:pStyle w:val="ListBullet"/>
            </w:pPr>
            <w:r w:rsidRPr="002F0BAF">
              <w:t>use online information systems to search for regulatory and procedural information.</w:t>
            </w:r>
          </w:p>
        </w:tc>
      </w:tr>
    </w:tbl>
    <w:p w:rsidR="00000000" w:rsidRPr="002F0BAF" w:rsidP="002F0BAF">
      <w:pPr>
        <w:pStyle w:val="BodyText"/>
      </w:pPr>
    </w:p>
    <w:p w:rsidR="00000000" w:rsidRPr="002F0BAF" w:rsidP="002F0BAF">
      <w:pPr>
        <w:pStyle w:val="AllowPageBreak"/>
      </w:pPr>
    </w:p>
    <w:p w:rsidR="00000000" w:rsidRPr="002F0BAF" w:rsidP="002F0BAF">
      <w:pPr>
        <w:pStyle w:val="Heading1"/>
      </w:pPr>
      <w:bookmarkStart w:id="8" w:name="O_793789"/>
      <w:bookmarkEnd w:id="8"/>
      <w:r w:rsidRPr="002F0BAF">
        <w:t>Unit Mapping Information</w:t>
      </w:r>
    </w:p>
    <w:p w:rsidR="00000000" w:rsidRPr="002F0BAF" w:rsidP="006D0BEB">
      <w:pPr>
        <w:pStyle w:val="BodyText"/>
      </w:pPr>
      <w:r w:rsidRPr="002F0BAF">
        <w:t>No equivalent unit.</w:t>
      </w:r>
    </w:p>
    <w:p w:rsidR="00000000" w:rsidRPr="002F0BAF" w:rsidP="002F0BAF">
      <w:pPr>
        <w:pStyle w:val="Heading1"/>
      </w:pPr>
      <w:bookmarkStart w:id="9" w:name="O_793796"/>
      <w:bookmarkEnd w:id="9"/>
      <w:r w:rsidRPr="002F0BAF">
        <w:t>Links</w:t>
      </w:r>
    </w:p>
    <w:p w:rsidR="00000000" w:rsidRPr="002F0BAF" w:rsidP="006D0BEB">
      <w:pPr>
        <w:pStyle w:val="BodyText"/>
      </w:pPr>
      <w:r w:rsidRPr="002F0BA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4C55D5">
        <w:rPr>
          <w:rStyle w:val="Hyperlink"/>
        </w:rPr>
        <w:t>https://vetnet.gov.au/Pages/TrainingDocs.aspx?q=ca051b1b-5101-4ec2-ac1c-49699303188d</w:t>
      </w:r>
      <w:r>
        <w:fldChar w:fldCharType="end"/>
      </w:r>
    </w:p>
    <w:p w:rsidR="00000000" w:rsidRPr="002F0BAF" w:rsidP="006D0BEB">
      <w:pPr>
        <w:pStyle w:val="BodyText"/>
        <w:sectPr w:rsidSect="002F0BAF">
          <w:headerReference w:type="default" r:id="rId10"/>
          <w:footerReference w:type="default" r:id="rId11"/>
          <w:pgSz w:w="11908" w:h="16833"/>
          <w:pgMar w:top="1702" w:right="1418" w:bottom="1702" w:left="1418" w:header="992" w:footer="992" w:gutter="0"/>
          <w:cols w:space="720"/>
          <w:noEndnote/>
          <w:docGrid w:linePitch="299"/>
        </w:sectPr>
      </w:pPr>
    </w:p>
    <w:p w:rsidR="00000000" w:rsidRPr="002F0BAF" w:rsidP="002F0BAF">
      <w:pPr>
        <w:pStyle w:val="SuperHeading"/>
      </w:pPr>
      <w:r w:rsidRPr="002F0BAF">
        <w:t>Assessment Requirements for SIRCIND002 Support the supply of Pharmacy Medicines and Pharmacist Only Medicines</w:t>
      </w:r>
    </w:p>
    <w:p w:rsidR="00000000" w:rsidRPr="002F0BAF" w:rsidP="002F0BAF">
      <w:pPr>
        <w:pStyle w:val="Heading1"/>
      </w:pPr>
      <w:bookmarkStart w:id="10" w:name="O_793791"/>
      <w:bookmarkEnd w:id="10"/>
      <w:r w:rsidRPr="002F0BAF">
        <w:t>Modification History</w:t>
      </w:r>
    </w:p>
    <w:p w:rsidR="00000000" w:rsidRPr="002F0BAF" w:rsidP="006D0BEB">
      <w:pPr>
        <w:pStyle w:val="BodyText"/>
      </w:pPr>
      <w:r w:rsidRPr="002F0BAF">
        <w:t>Not applicable.</w:t>
      </w:r>
    </w:p>
    <w:p w:rsidR="00000000" w:rsidRPr="002F0BAF" w:rsidP="002F0BAF">
      <w:pPr>
        <w:pStyle w:val="Heading1"/>
      </w:pPr>
      <w:bookmarkStart w:id="11" w:name="O_793792"/>
      <w:bookmarkEnd w:id="11"/>
      <w:r w:rsidRPr="002F0BAF">
        <w:t>Performance Evidence</w:t>
      </w:r>
    </w:p>
    <w:p w:rsidR="00000000" w:rsidRPr="002F0BAF" w:rsidP="006D0BEB">
      <w:pPr>
        <w:pStyle w:val="BodyText"/>
      </w:pPr>
      <w:r w:rsidRPr="002F0BAF">
        <w:t>Evidence of the ability to complete tasks outlined in elements and performance criteria of this unit in the context of the job role, and:</w:t>
      </w:r>
    </w:p>
    <w:p w:rsidR="00000000" w:rsidRPr="002F0BAF" w:rsidP="002F0BAF">
      <w:pPr>
        <w:pStyle w:val="ListBullet"/>
      </w:pPr>
      <w:r w:rsidRPr="002F0BAF">
        <w:t>obtain and interpret information about the scheduling of medici</w:t>
      </w:r>
      <w:r w:rsidRPr="002F0BAF">
        <w:t>nes from the following sources:</w:t>
      </w:r>
    </w:p>
    <w:p w:rsidR="00000000" w:rsidRPr="002F0BAF" w:rsidP="002F0BAF">
      <w:pPr>
        <w:pStyle w:val="ListBullet2"/>
      </w:pPr>
      <w:r w:rsidRPr="002F0BAF">
        <w:t>federal, state or territory departments of health</w:t>
      </w:r>
    </w:p>
    <w:p w:rsidR="00000000" w:rsidRPr="002F0BAF" w:rsidP="002F0BAF">
      <w:pPr>
        <w:pStyle w:val="ListBullet2"/>
      </w:pPr>
      <w:r w:rsidRPr="002F0BAF">
        <w:t>Therapeutic Goods Administration (TGA)</w:t>
      </w:r>
    </w:p>
    <w:p w:rsidR="00000000" w:rsidRPr="002F0BAF" w:rsidP="002F0BAF">
      <w:pPr>
        <w:pStyle w:val="ListBullet2"/>
      </w:pPr>
      <w:r w:rsidRPr="002F0BAF">
        <w:t>Standard for the Uniform Scheduling of Medicines and Poisons (SUSMP)</w:t>
      </w:r>
    </w:p>
    <w:p w:rsidR="00000000" w:rsidRPr="002F0BAF" w:rsidP="002F0BAF">
      <w:pPr>
        <w:pStyle w:val="ListBullet2"/>
      </w:pPr>
      <w:r w:rsidRPr="002F0BAF">
        <w:t>industry association websites and professional publications</w:t>
      </w:r>
    </w:p>
    <w:p w:rsidR="00000000" w:rsidRPr="002F0BAF" w:rsidP="002F0BAF">
      <w:pPr>
        <w:pStyle w:val="ListBullet"/>
      </w:pPr>
      <w:r w:rsidRPr="002F0BAF">
        <w:t>seek and document information on the following key pharmacy legal requirements for the supply of scheduled medicines:</w:t>
      </w:r>
    </w:p>
    <w:p w:rsidR="00000000" w:rsidRPr="002F0BAF" w:rsidP="002F0BAF">
      <w:pPr>
        <w:pStyle w:val="ListBullet2"/>
      </w:pPr>
      <w:r w:rsidRPr="002F0BAF">
        <w:t>product placement and advertising of Pharmacy Medicines (S2) and Pharmacist Only Medicines (S3) items in a pharmacy</w:t>
      </w:r>
    </w:p>
    <w:p w:rsidR="00000000" w:rsidRPr="002F0BAF" w:rsidP="002F0BAF">
      <w:pPr>
        <w:pStyle w:val="ListBullet2"/>
      </w:pPr>
      <w:r w:rsidRPr="002F0BAF">
        <w:t xml:space="preserve">storage requirements </w:t>
      </w:r>
      <w:r w:rsidRPr="002F0BAF">
        <w:t>for Pharmacist Only Medicines (S3), Prescription Only Medicine (S4) and Controlled Drug (S8) scheduled items in a pharmacy</w:t>
      </w:r>
    </w:p>
    <w:p w:rsidR="00000000" w:rsidRPr="002F0BAF" w:rsidP="002F0BAF">
      <w:pPr>
        <w:pStyle w:val="ListBullet2"/>
      </w:pPr>
      <w:r w:rsidRPr="002F0BAF">
        <w:t>role boundaries and responsibilities of pharmacy and dispensary assistants</w:t>
      </w:r>
    </w:p>
    <w:p w:rsidR="00000000" w:rsidRPr="002F0BAF" w:rsidP="002F0BAF">
      <w:pPr>
        <w:pStyle w:val="ListBullet2"/>
      </w:pPr>
      <w:r w:rsidRPr="002F0BAF">
        <w:t>circumstances which require and trigger referral to a phar</w:t>
      </w:r>
      <w:r w:rsidRPr="002F0BAF">
        <w:t>macist</w:t>
      </w:r>
    </w:p>
    <w:p w:rsidR="00000000" w:rsidRPr="002F0BAF" w:rsidP="002F0BAF">
      <w:pPr>
        <w:pStyle w:val="ListBullet"/>
      </w:pPr>
      <w:r w:rsidRPr="002F0BAF">
        <w:t>access and interpret this range of organisational procedures for supplying Pharmacy Medicines (S2) and Pharmacist Only Medicines (S3):</w:t>
      </w:r>
    </w:p>
    <w:p w:rsidR="00000000" w:rsidRPr="002F0BAF" w:rsidP="002F0BAF">
      <w:pPr>
        <w:pStyle w:val="ListBullet2"/>
      </w:pPr>
      <w:r w:rsidRPr="002F0BAF">
        <w:t>questions that must be asked to collect information about customer needs</w:t>
      </w:r>
    </w:p>
    <w:p w:rsidR="00000000" w:rsidRPr="002F0BAF" w:rsidP="002F0BAF">
      <w:pPr>
        <w:pStyle w:val="ListBullet2"/>
      </w:pPr>
      <w:r w:rsidRPr="002F0BAF">
        <w:t>triggers for referral to a pharmacist</w:t>
      </w:r>
    </w:p>
    <w:p w:rsidR="00000000" w:rsidRPr="002F0BAF" w:rsidP="002F0BAF">
      <w:pPr>
        <w:pStyle w:val="ListBullet2"/>
      </w:pPr>
      <w:r w:rsidRPr="002F0BAF">
        <w:t>m</w:t>
      </w:r>
      <w:r w:rsidRPr="002F0BAF">
        <w:t>aintaining privacy and confidentiality of customer information.</w:t>
      </w:r>
    </w:p>
    <w:p w:rsidR="00000000" w:rsidRPr="002F0BAF" w:rsidP="002F0BAF">
      <w:pPr>
        <w:pStyle w:val="AllowPageBreak"/>
      </w:pPr>
    </w:p>
    <w:p w:rsidR="00000000" w:rsidRPr="002F0BAF" w:rsidP="002F0BAF">
      <w:pPr>
        <w:pStyle w:val="Heading1"/>
      </w:pPr>
      <w:bookmarkStart w:id="12" w:name="O_793793"/>
      <w:bookmarkEnd w:id="12"/>
      <w:r w:rsidRPr="002F0BAF">
        <w:t>Knowledge Evidence</w:t>
      </w:r>
    </w:p>
    <w:p w:rsidR="00000000" w:rsidRPr="002F0BAF" w:rsidP="006D0BEB">
      <w:pPr>
        <w:pStyle w:val="BodyText"/>
      </w:pPr>
      <w:r w:rsidRPr="002F0BAF">
        <w:t>Demonstrated knowledge required to complete the tasks outlined in elements and performance criteria of this unit:</w:t>
      </w:r>
    </w:p>
    <w:p w:rsidR="00000000" w:rsidRPr="002F0BAF" w:rsidP="002F0BAF">
      <w:pPr>
        <w:pStyle w:val="ListBullet"/>
      </w:pPr>
      <w:r w:rsidRPr="002F0BAF">
        <w:t>sources of information on scheduled medicines, legal and industry requirements:</w:t>
      </w:r>
    </w:p>
    <w:p w:rsidR="00000000" w:rsidRPr="002F0BAF" w:rsidP="002F0BAF">
      <w:pPr>
        <w:pStyle w:val="ListBullet2"/>
      </w:pPr>
      <w:r w:rsidRPr="002F0BAF">
        <w:t>federal, state and territory departments of health</w:t>
      </w:r>
    </w:p>
    <w:p w:rsidR="00000000" w:rsidRPr="002F0BAF" w:rsidP="002F0BAF">
      <w:pPr>
        <w:pStyle w:val="ListBullet2"/>
      </w:pPr>
      <w:r w:rsidRPr="002F0BAF">
        <w:t>Therapeutic Goods Administration (TGA)</w:t>
      </w:r>
    </w:p>
    <w:p w:rsidR="00000000" w:rsidRPr="002F0BAF" w:rsidP="002F0BAF">
      <w:pPr>
        <w:pStyle w:val="ListBullet2"/>
      </w:pPr>
      <w:r w:rsidRPr="002F0BAF">
        <w:t>Standard for the Uniform Scheduling of Medicines and Poisons (SUSMP)</w:t>
      </w:r>
    </w:p>
    <w:p w:rsidR="00000000" w:rsidRPr="002F0BAF" w:rsidP="002F0BAF">
      <w:pPr>
        <w:pStyle w:val="ListBullet2"/>
      </w:pPr>
      <w:r w:rsidRPr="002F0BAF">
        <w:t>industry associa</w:t>
      </w:r>
      <w:r w:rsidRPr="002F0BAF">
        <w:t>tion websites and professional publications</w:t>
      </w:r>
    </w:p>
    <w:p w:rsidR="00000000" w:rsidRPr="002F0BAF" w:rsidP="002F0BAF">
      <w:pPr>
        <w:pStyle w:val="ListBullet2"/>
      </w:pPr>
      <w:r w:rsidRPr="002F0BAF">
        <w:t>Pharmacy Board of Australia</w:t>
      </w:r>
    </w:p>
    <w:p w:rsidR="00000000" w:rsidRPr="002F0BAF" w:rsidP="002F0BAF">
      <w:pPr>
        <w:pStyle w:val="ListBullet"/>
      </w:pPr>
      <w:r w:rsidRPr="002F0BAF">
        <w:t>basic aspects of the system for scheduling medicines and the role of:</w:t>
      </w:r>
    </w:p>
    <w:p w:rsidR="00000000" w:rsidRPr="002F0BAF" w:rsidP="002F0BAF">
      <w:pPr>
        <w:pStyle w:val="ListBullet2"/>
      </w:pPr>
      <w:r w:rsidRPr="002F0BAF">
        <w:t>Advisory Committee in Chemicals Scheduling</w:t>
      </w:r>
    </w:p>
    <w:p w:rsidR="00000000" w:rsidRPr="002F0BAF" w:rsidP="002F0BAF">
      <w:pPr>
        <w:pStyle w:val="ListBullet2"/>
      </w:pPr>
      <w:r w:rsidRPr="002F0BAF">
        <w:t>Advisory Committee on Medicines Scheduling</w:t>
      </w:r>
    </w:p>
    <w:p w:rsidR="00000000" w:rsidRPr="002F0BAF" w:rsidP="002F0BAF">
      <w:pPr>
        <w:pStyle w:val="ListBullet2"/>
      </w:pPr>
      <w:r w:rsidRPr="002F0BAF">
        <w:t>Therapeutic Goods Administ</w:t>
      </w:r>
      <w:r w:rsidRPr="002F0BAF">
        <w:t>ration (TGA) in approving registration of new medicines</w:t>
      </w:r>
    </w:p>
    <w:p w:rsidR="00000000" w:rsidRPr="002F0BAF" w:rsidP="002F0BAF">
      <w:pPr>
        <w:pStyle w:val="ListBullet"/>
      </w:pPr>
      <w:r w:rsidRPr="002F0BAF">
        <w:t>purpose of the Standard for the Uniform Scheduling of Medicines and Poisons (SUSMP) and basic features of these schedule types:</w:t>
      </w:r>
    </w:p>
    <w:p w:rsidR="00000000" w:rsidRPr="002F0BAF" w:rsidP="002F0BAF">
      <w:pPr>
        <w:pStyle w:val="ListBullet2"/>
      </w:pPr>
      <w:r w:rsidRPr="002F0BAF">
        <w:t>general sales medicines (unscheduled)</w:t>
      </w:r>
    </w:p>
    <w:p w:rsidR="00000000" w:rsidRPr="002F0BAF" w:rsidP="002F0BAF">
      <w:pPr>
        <w:pStyle w:val="ListBullet2"/>
      </w:pPr>
      <w:r w:rsidRPr="002F0BAF">
        <w:t>Pharmacy Medicine (S2)</w:t>
      </w:r>
    </w:p>
    <w:p w:rsidR="00000000" w:rsidRPr="002F0BAF" w:rsidP="002F0BAF">
      <w:pPr>
        <w:pStyle w:val="ListBullet2"/>
      </w:pPr>
      <w:r w:rsidRPr="002F0BAF">
        <w:t>Pharmacist Only Medicine (S3)</w:t>
      </w:r>
    </w:p>
    <w:p w:rsidR="00000000" w:rsidRPr="002F0BAF" w:rsidP="002F0BAF">
      <w:pPr>
        <w:pStyle w:val="ListBullet2"/>
      </w:pPr>
      <w:r w:rsidRPr="002F0BAF">
        <w:t>Prescription Only Medicine (S4)</w:t>
      </w:r>
    </w:p>
    <w:p w:rsidR="00000000" w:rsidRPr="002F0BAF" w:rsidP="002F0BAF">
      <w:pPr>
        <w:pStyle w:val="ListBullet2"/>
      </w:pPr>
      <w:r w:rsidRPr="002F0BAF">
        <w:t>Caution (S5)</w:t>
      </w:r>
    </w:p>
    <w:p w:rsidR="00000000" w:rsidRPr="002F0BAF" w:rsidP="002F0BAF">
      <w:pPr>
        <w:pStyle w:val="ListBullet2"/>
      </w:pPr>
      <w:r w:rsidRPr="002F0BAF">
        <w:t>Poison (S6)</w:t>
      </w:r>
    </w:p>
    <w:p w:rsidR="00000000" w:rsidRPr="002F0BAF" w:rsidP="002F0BAF">
      <w:pPr>
        <w:pStyle w:val="ListBullet2"/>
      </w:pPr>
      <w:r w:rsidRPr="002F0BAF">
        <w:t>Dangerous Poison (S7)</w:t>
      </w:r>
    </w:p>
    <w:p w:rsidR="00000000" w:rsidRPr="002F0BAF" w:rsidP="002F0BAF">
      <w:pPr>
        <w:pStyle w:val="ListBullet2"/>
      </w:pPr>
      <w:r w:rsidRPr="002F0BAF">
        <w:t>Controlled Drug (S8)</w:t>
      </w:r>
    </w:p>
    <w:p w:rsidR="00000000" w:rsidRPr="002F0BAF" w:rsidP="002F0BAF">
      <w:pPr>
        <w:pStyle w:val="ListBullet2"/>
      </w:pPr>
      <w:r w:rsidRPr="002F0BAF">
        <w:t>Prohibited Substance (S9)</w:t>
      </w:r>
    </w:p>
    <w:p w:rsidR="00000000" w:rsidRPr="002F0BAF" w:rsidP="002F0BAF">
      <w:pPr>
        <w:pStyle w:val="ListBullet"/>
      </w:pPr>
      <w:r w:rsidRPr="002F0BAF">
        <w:t>reasons for determining scheduling especially quantities and concentration of active ingredients in</w:t>
      </w:r>
      <w:r w:rsidRPr="002F0BAF">
        <w:t xml:space="preserve"> packaged medicine</w:t>
      </w:r>
    </w:p>
    <w:p w:rsidR="00000000" w:rsidRPr="002F0BAF" w:rsidP="002F0BAF">
      <w:pPr>
        <w:pStyle w:val="ListBullet"/>
      </w:pPr>
      <w:r w:rsidRPr="002F0BAF">
        <w:t>common medicine categories for Pharmacy Medicines (S2) and Pharmacist Only Medicines (S3)</w:t>
      </w:r>
    </w:p>
    <w:p w:rsidR="00000000" w:rsidRPr="002F0BAF" w:rsidP="002F0BAF">
      <w:pPr>
        <w:pStyle w:val="ListBullet"/>
      </w:pPr>
      <w:r w:rsidRPr="002F0BAF">
        <w:t>basic aspects of key federal and relevant state or territory legal requirements for the supply of Pharmacy Medicines (S2) and Pharmacist Only Medic</w:t>
      </w:r>
      <w:r w:rsidRPr="002F0BAF">
        <w:t>ines (S3) and products:</w:t>
      </w:r>
    </w:p>
    <w:p w:rsidR="00000000" w:rsidRPr="002F0BAF" w:rsidP="002F0BAF">
      <w:pPr>
        <w:pStyle w:val="ListBullet2"/>
      </w:pPr>
      <w:r w:rsidRPr="002F0BAF">
        <w:t>product placement and advertising of Pharmacy Medicines (S2) scheduled items in a pharmacy</w:t>
      </w:r>
    </w:p>
    <w:p w:rsidR="00000000" w:rsidRPr="002F0BAF" w:rsidP="002F0BAF">
      <w:pPr>
        <w:pStyle w:val="ListBullet2"/>
      </w:pPr>
      <w:r w:rsidRPr="002F0BAF">
        <w:t>storage requirements for Pharmacist Only Medicines (S3) scheduled items in a pharmacy</w:t>
      </w:r>
    </w:p>
    <w:p w:rsidR="00000000" w:rsidRPr="002F0BAF" w:rsidP="002F0BAF">
      <w:pPr>
        <w:pStyle w:val="ListBullet2"/>
      </w:pPr>
      <w:r w:rsidRPr="002F0BAF">
        <w:t>role boundaries and responsibilities of pharmacy and dispensary assistants</w:t>
      </w:r>
    </w:p>
    <w:p w:rsidR="00000000" w:rsidRPr="002F0BAF" w:rsidP="002F0BAF">
      <w:pPr>
        <w:pStyle w:val="ListBullet"/>
      </w:pPr>
      <w:r w:rsidRPr="002F0BAF">
        <w:t>storage requirements for other scheduled items commonly found in a pharmacy:</w:t>
      </w:r>
    </w:p>
    <w:p w:rsidR="00000000" w:rsidRPr="002F0BAF" w:rsidP="002F0BAF">
      <w:pPr>
        <w:pStyle w:val="ListBullet2"/>
      </w:pPr>
      <w:r w:rsidRPr="002F0BAF">
        <w:t>Prescription Only Medicine (S4)</w:t>
      </w:r>
    </w:p>
    <w:p w:rsidR="00000000" w:rsidRPr="002F0BAF" w:rsidP="002F0BAF">
      <w:pPr>
        <w:pStyle w:val="ListBullet2"/>
      </w:pPr>
      <w:r w:rsidRPr="002F0BAF">
        <w:t>Controlled Drug (S8)</w:t>
      </w:r>
    </w:p>
    <w:p w:rsidR="00000000" w:rsidRPr="002F0BAF" w:rsidP="002F0BAF">
      <w:pPr>
        <w:pStyle w:val="ListBullet"/>
      </w:pPr>
      <w:r w:rsidRPr="002F0BAF">
        <w:t xml:space="preserve">basic aspects of industry guidelines for supply </w:t>
      </w:r>
      <w:r w:rsidRPr="002F0BAF">
        <w:t>of Pharmacy Medicines (S2) and Pharmacist Only Medicines (S3) and products</w:t>
      </w:r>
    </w:p>
    <w:p w:rsidR="00000000" w:rsidRPr="002F0BAF" w:rsidP="002F0BAF">
      <w:pPr>
        <w:pStyle w:val="ListBullet2"/>
      </w:pPr>
      <w:r w:rsidRPr="002F0BAF">
        <w:t>Pharmacy Board of Australia guidelines and directives</w:t>
      </w:r>
    </w:p>
    <w:p w:rsidR="00000000" w:rsidRPr="002F0BAF" w:rsidP="002F0BAF">
      <w:pPr>
        <w:pStyle w:val="ListBullet2"/>
      </w:pPr>
      <w:r w:rsidRPr="002F0BAF">
        <w:t>Pharmaceutical Society of Australia’s Professional Practice Standards – provisions relevant to the provision of non-prescripti</w:t>
      </w:r>
      <w:r w:rsidRPr="002F0BAF">
        <w:t>on medicines and therapeutic devices</w:t>
      </w:r>
    </w:p>
    <w:p w:rsidR="00000000" w:rsidRPr="002F0BAF" w:rsidP="002F0BAF">
      <w:pPr>
        <w:pStyle w:val="ListBullet2"/>
      </w:pPr>
      <w:r w:rsidRPr="002F0BAF">
        <w:t>Pharmaceutical Society of Australia’s Standards for the Provision of Pharmacy Medicines and Pharmacist Only Medicines in Community Pharmacy</w:t>
      </w:r>
    </w:p>
    <w:p w:rsidR="00000000" w:rsidRPr="002F0BAF" w:rsidP="002F0BAF">
      <w:pPr>
        <w:pStyle w:val="ListBullet"/>
      </w:pPr>
      <w:r w:rsidRPr="002F0BAF">
        <w:t>typical schedule and content of pharmacy procedures for supplying Pharmacy Med</w:t>
      </w:r>
      <w:r w:rsidRPr="002F0BAF">
        <w:t>icines and Pharmacist Only Medicines and their importance in managing compliance with the law:</w:t>
      </w:r>
    </w:p>
    <w:p w:rsidR="00000000" w:rsidRPr="002F0BAF" w:rsidP="002F0BAF">
      <w:pPr>
        <w:pStyle w:val="ListBullet2"/>
      </w:pPr>
      <w:r w:rsidRPr="002F0BAF">
        <w:t>questions that must be asked to collect information about customer needs</w:t>
      </w:r>
    </w:p>
    <w:p w:rsidR="00000000" w:rsidRPr="002F0BAF" w:rsidP="002F0BAF">
      <w:pPr>
        <w:pStyle w:val="ListBullet2"/>
      </w:pPr>
      <w:r w:rsidRPr="002F0BAF">
        <w:t>collecting and supplying information to an agent acting on behalf of a customer</w:t>
      </w:r>
    </w:p>
    <w:p w:rsidR="00000000" w:rsidRPr="002F0BAF" w:rsidP="002F0BAF">
      <w:pPr>
        <w:pStyle w:val="ListBullet2"/>
      </w:pPr>
      <w:r w:rsidRPr="002F0BAF">
        <w:t>identif</w:t>
      </w:r>
      <w:r w:rsidRPr="002F0BAF">
        <w:t>ying and acting on triggers for referral to a pharmacist</w:t>
      </w:r>
    </w:p>
    <w:p w:rsidR="00000000" w:rsidRPr="002F0BAF" w:rsidP="002F0BAF">
      <w:pPr>
        <w:pStyle w:val="ListBullet2"/>
      </w:pPr>
      <w:r w:rsidRPr="002F0BAF">
        <w:t>maintaining privacy and confidentiality of customer information</w:t>
      </w:r>
    </w:p>
    <w:p w:rsidR="00000000" w:rsidRPr="002F0BAF" w:rsidP="002F0BAF">
      <w:pPr>
        <w:pStyle w:val="ListBullet"/>
      </w:pPr>
      <w:r w:rsidRPr="002F0BAF">
        <w:t>privacy and confidentiality principles relevant to pharmacy product transactions with customers</w:t>
      </w:r>
    </w:p>
    <w:p w:rsidR="00000000" w:rsidRPr="002F0BAF" w:rsidP="002F0BAF">
      <w:pPr>
        <w:pStyle w:val="ListBullet"/>
      </w:pPr>
      <w:r w:rsidRPr="002F0BAF">
        <w:t>typical schedu</w:t>
      </w:r>
      <w:r w:rsidRPr="002F0BAF">
        <w:t>le of questions asked to collect information about customer needs and their rationale:</w:t>
      </w:r>
    </w:p>
    <w:p w:rsidR="00000000" w:rsidRPr="002F0BAF" w:rsidP="002F0BAF">
      <w:pPr>
        <w:pStyle w:val="ListBullet2"/>
      </w:pPr>
      <w:r w:rsidRPr="002F0BAF">
        <w:t>who the product is for</w:t>
      </w:r>
    </w:p>
    <w:p w:rsidR="00000000" w:rsidRPr="002F0BAF" w:rsidP="002F0BAF">
      <w:pPr>
        <w:pStyle w:val="ListBullet2"/>
      </w:pPr>
      <w:r w:rsidRPr="002F0BAF">
        <w:t>their condition or symptoms</w:t>
      </w:r>
    </w:p>
    <w:p w:rsidR="00000000" w:rsidRPr="002F0BAF" w:rsidP="002F0BAF">
      <w:pPr>
        <w:pStyle w:val="ListBullet2"/>
      </w:pPr>
      <w:r w:rsidRPr="002F0BAF">
        <w:t>duration of symptoms</w:t>
      </w:r>
    </w:p>
    <w:p w:rsidR="00000000" w:rsidRPr="002F0BAF" w:rsidP="002F0BAF">
      <w:pPr>
        <w:pStyle w:val="ListBullet2"/>
      </w:pPr>
      <w:r w:rsidRPr="002F0BAF">
        <w:t>other existing health conditions</w:t>
      </w:r>
    </w:p>
    <w:p w:rsidR="00000000" w:rsidRPr="002F0BAF" w:rsidP="002F0BAF">
      <w:pPr>
        <w:pStyle w:val="ListBullet2"/>
      </w:pPr>
      <w:r w:rsidRPr="002F0BAF">
        <w:t>other medicines currently using</w:t>
      </w:r>
    </w:p>
    <w:p w:rsidR="00000000" w:rsidRPr="002F0BAF" w:rsidP="002F0BAF">
      <w:pPr>
        <w:pStyle w:val="ListBullet"/>
      </w:pPr>
      <w:r w:rsidRPr="002F0BAF">
        <w:t>circumstances which require an</w:t>
      </w:r>
      <w:r w:rsidRPr="002F0BAF">
        <w:t>d trigger referral to a pharmacist and typical schedule of triggers:</w:t>
      </w:r>
    </w:p>
    <w:p w:rsidR="00000000" w:rsidRPr="002F0BAF" w:rsidP="002F0BAF">
      <w:pPr>
        <w:pStyle w:val="ListBullet2"/>
      </w:pPr>
      <w:r w:rsidRPr="002F0BAF">
        <w:t>customer who is:</w:t>
      </w:r>
    </w:p>
    <w:p w:rsidR="00000000" w:rsidRPr="002F0BAF" w:rsidP="002F0BAF">
      <w:pPr>
        <w:pStyle w:val="ListBullet3"/>
      </w:pPr>
      <w:r w:rsidRPr="002F0BAF">
        <w:t>a child under 2 years</w:t>
      </w:r>
    </w:p>
    <w:p w:rsidR="00000000" w:rsidRPr="002F0BAF" w:rsidP="002F0BAF">
      <w:pPr>
        <w:pStyle w:val="ListBullet3"/>
      </w:pPr>
      <w:r w:rsidRPr="002F0BAF">
        <w:t>an aged person</w:t>
      </w:r>
    </w:p>
    <w:p w:rsidR="00000000" w:rsidRPr="002F0BAF" w:rsidP="002F0BAF">
      <w:pPr>
        <w:pStyle w:val="ListBullet3"/>
      </w:pPr>
      <w:r w:rsidRPr="002F0BAF">
        <w:t>pregnant or breastfeeding</w:t>
      </w:r>
    </w:p>
    <w:p w:rsidR="00000000" w:rsidRPr="002F0BAF" w:rsidP="002F0BAF">
      <w:pPr>
        <w:pStyle w:val="ListBullet3"/>
      </w:pPr>
      <w:r w:rsidRPr="002F0BAF">
        <w:t>taking other medicines</w:t>
      </w:r>
    </w:p>
    <w:p w:rsidR="00000000" w:rsidRPr="002F0BAF" w:rsidP="002F0BAF">
      <w:pPr>
        <w:pStyle w:val="ListBullet2"/>
      </w:pPr>
      <w:r w:rsidRPr="002F0BAF">
        <w:t>customer has:</w:t>
      </w:r>
    </w:p>
    <w:p w:rsidR="00000000" w:rsidRPr="002F0BAF" w:rsidP="002F0BAF">
      <w:pPr>
        <w:pStyle w:val="ListBullet3"/>
      </w:pPr>
      <w:r w:rsidRPr="002F0BAF">
        <w:t>had the complaint for some time</w:t>
      </w:r>
    </w:p>
    <w:p w:rsidR="00000000" w:rsidRPr="002F0BAF" w:rsidP="002F0BAF">
      <w:pPr>
        <w:pStyle w:val="ListBullet3"/>
      </w:pPr>
      <w:r w:rsidRPr="002F0BAF">
        <w:t>other health conditions</w:t>
      </w:r>
    </w:p>
    <w:p w:rsidR="00000000" w:rsidRPr="002F0BAF" w:rsidP="002F0BAF">
      <w:pPr>
        <w:pStyle w:val="ListBullet3"/>
      </w:pPr>
      <w:r w:rsidRPr="002F0BAF">
        <w:t>used the product before but is not satisfied with its efficacy</w:t>
      </w:r>
    </w:p>
    <w:p w:rsidR="00000000" w:rsidRPr="002F0BAF" w:rsidP="002F0BAF">
      <w:pPr>
        <w:pStyle w:val="ListBullet2"/>
      </w:pPr>
      <w:r w:rsidRPr="002F0BAF">
        <w:t>customer appears to be:</w:t>
      </w:r>
    </w:p>
    <w:p w:rsidR="00000000" w:rsidRPr="002F0BAF" w:rsidP="002F0BAF">
      <w:pPr>
        <w:pStyle w:val="ListBullet3"/>
      </w:pPr>
      <w:r w:rsidRPr="002F0BAF">
        <w:t>sick</w:t>
      </w:r>
    </w:p>
    <w:p w:rsidR="00000000" w:rsidRPr="002F0BAF" w:rsidP="002F0BAF">
      <w:pPr>
        <w:pStyle w:val="ListBullet3"/>
      </w:pPr>
      <w:r w:rsidRPr="002F0BAF">
        <w:t>angry</w:t>
      </w:r>
    </w:p>
    <w:p w:rsidR="00000000" w:rsidRPr="002F0BAF" w:rsidP="002F0BAF">
      <w:pPr>
        <w:pStyle w:val="ListBullet3"/>
      </w:pPr>
      <w:r w:rsidRPr="002F0BAF">
        <w:t>confused</w:t>
      </w:r>
    </w:p>
    <w:p w:rsidR="00000000" w:rsidRPr="002F0BAF" w:rsidP="002F0BAF">
      <w:pPr>
        <w:pStyle w:val="ListBullet3"/>
      </w:pPr>
      <w:r w:rsidRPr="002F0BAF">
        <w:t>dissatisfied</w:t>
      </w:r>
    </w:p>
    <w:p w:rsidR="00000000" w:rsidRPr="002F0BAF" w:rsidP="002F0BAF">
      <w:pPr>
        <w:pStyle w:val="ListBullet3"/>
      </w:pPr>
      <w:r w:rsidRPr="002F0BAF">
        <w:t>uncertain</w:t>
      </w:r>
    </w:p>
    <w:p w:rsidR="00000000" w:rsidRPr="002F0BAF" w:rsidP="002F0BAF">
      <w:pPr>
        <w:pStyle w:val="ListBullet3"/>
      </w:pPr>
      <w:r w:rsidRPr="002F0BAF">
        <w:t>under the influence of drugs or alcohol</w:t>
      </w:r>
    </w:p>
    <w:p w:rsidR="00000000" w:rsidRPr="002F0BAF" w:rsidP="002F0BAF">
      <w:pPr>
        <w:pStyle w:val="ListBullet2"/>
      </w:pPr>
      <w:r w:rsidRPr="002F0BAF">
        <w:t>pharmacy assistant is unsure and needs confirmation of the medicine selected, even if the product has been requested by name</w:t>
      </w:r>
    </w:p>
    <w:p w:rsidR="00000000" w:rsidRPr="002F0BAF" w:rsidP="002F0BAF">
      <w:pPr>
        <w:pStyle w:val="ListBullet2"/>
      </w:pPr>
      <w:r w:rsidRPr="002F0BAF">
        <w:t>request for Pharmacist Only Medicine (S3)</w:t>
      </w:r>
    </w:p>
    <w:p w:rsidR="00000000" w:rsidRPr="002F0BAF" w:rsidP="002F0BAF">
      <w:pPr>
        <w:pStyle w:val="ListBullet"/>
      </w:pPr>
      <w:r w:rsidRPr="002F0BAF">
        <w:t xml:space="preserve">roles of pharmacy and dispensary assistants in finalising the supply of Pharmacist Only </w:t>
      </w:r>
      <w:r w:rsidRPr="002F0BAF">
        <w:t>Medicines (S3) and other products after pharmacist provision of therapeutic advice:</w:t>
      </w:r>
    </w:p>
    <w:p w:rsidR="00000000" w:rsidRPr="002F0BAF" w:rsidP="002F0BAF">
      <w:pPr>
        <w:pStyle w:val="ListBullet2"/>
      </w:pPr>
      <w:r w:rsidRPr="002F0BAF">
        <w:t>providing or reiterating directions for product use and confirming understanding</w:t>
      </w:r>
    </w:p>
    <w:p w:rsidR="00000000" w:rsidRPr="002F0BAF" w:rsidP="002F0BAF">
      <w:pPr>
        <w:pStyle w:val="ListBullet2"/>
      </w:pPr>
      <w:r w:rsidRPr="002F0BAF">
        <w:t>recommending companion products or aids</w:t>
      </w:r>
    </w:p>
    <w:p w:rsidR="00000000" w:rsidRPr="002F0BAF" w:rsidP="002F0BAF">
      <w:pPr>
        <w:pStyle w:val="ListBullet2"/>
      </w:pPr>
      <w:r w:rsidRPr="002F0BAF">
        <w:t>providing supporting consumer information</w:t>
      </w:r>
    </w:p>
    <w:p w:rsidR="00000000" w:rsidRPr="002F0BAF" w:rsidP="002F0BAF">
      <w:pPr>
        <w:pStyle w:val="ListBullet2"/>
      </w:pPr>
      <w:r w:rsidRPr="002F0BAF">
        <w:t>processing the financial transaction.</w:t>
      </w:r>
    </w:p>
    <w:p w:rsidR="00000000" w:rsidRPr="002F0BAF" w:rsidP="002F0BAF">
      <w:pPr>
        <w:pStyle w:val="AllowPageBreak"/>
      </w:pPr>
    </w:p>
    <w:p w:rsidR="00000000" w:rsidRPr="002F0BAF" w:rsidP="002F0BAF">
      <w:pPr>
        <w:pStyle w:val="Heading1"/>
      </w:pPr>
      <w:bookmarkStart w:id="13" w:name="O_793794"/>
      <w:bookmarkEnd w:id="13"/>
      <w:r w:rsidRPr="002F0BAF">
        <w:t>Assessment Conditions</w:t>
      </w:r>
    </w:p>
    <w:p w:rsidR="00000000" w:rsidRPr="002F0BAF" w:rsidP="006D0BEB">
      <w:pPr>
        <w:pStyle w:val="BodyText"/>
      </w:pPr>
      <w:r w:rsidRPr="002F0BAF">
        <w:t>Skills must be demonstrated in a pharmacy with designated front of pharmacy and dispensary areas. This can be:</w:t>
      </w:r>
    </w:p>
    <w:p w:rsidR="00000000" w:rsidRPr="002F0BAF" w:rsidP="002F0BAF">
      <w:pPr>
        <w:pStyle w:val="ListBullet"/>
      </w:pPr>
      <w:r w:rsidRPr="002F0BAF">
        <w:t>an industry workplace</w:t>
      </w:r>
    </w:p>
    <w:p w:rsidR="00000000" w:rsidRPr="002F0BAF" w:rsidP="002F0BAF">
      <w:pPr>
        <w:pStyle w:val="ListBullet"/>
      </w:pPr>
      <w:r w:rsidRPr="002F0BAF">
        <w:t>a simulated industry environment.</w:t>
      </w:r>
    </w:p>
    <w:p w:rsidR="00000000" w:rsidRPr="002F0BAF" w:rsidP="002F0BAF">
      <w:pPr>
        <w:pStyle w:val="BodyText"/>
      </w:pPr>
    </w:p>
    <w:p w:rsidR="00000000" w:rsidRPr="002F0BAF" w:rsidP="006D0BEB">
      <w:pPr>
        <w:pStyle w:val="BodyText"/>
      </w:pPr>
      <w:r w:rsidRPr="002F0BAF">
        <w:t>Assessment</w:t>
      </w:r>
      <w:r w:rsidRPr="002F0BAF">
        <w:t xml:space="preserve"> must ensure use of:</w:t>
      </w:r>
    </w:p>
    <w:p w:rsidR="00000000" w:rsidRPr="002F0BAF" w:rsidP="002F0BAF">
      <w:pPr>
        <w:pStyle w:val="ListBullet"/>
      </w:pPr>
      <w:r w:rsidRPr="002F0BAF">
        <w:t>information technology hardware and software</w:t>
      </w:r>
    </w:p>
    <w:p w:rsidR="00000000" w:rsidRPr="002F0BAF" w:rsidP="002F0BAF">
      <w:pPr>
        <w:pStyle w:val="ListBullet"/>
      </w:pPr>
      <w:r w:rsidRPr="002F0BAF">
        <w:t xml:space="preserve">online information systems </w:t>
      </w:r>
    </w:p>
    <w:p w:rsidR="00000000" w:rsidRPr="002F0BAF" w:rsidP="002F0BAF">
      <w:pPr>
        <w:pStyle w:val="ListBullet"/>
      </w:pPr>
      <w:r w:rsidRPr="002F0BAF">
        <w:t>current guidelines, directives and standards, issued by government regulators or industry groups covering scheduling requirements and related legal compliance is</w:t>
      </w:r>
      <w:r w:rsidRPr="002F0BAF">
        <w:t xml:space="preserve">sues </w:t>
      </w:r>
    </w:p>
    <w:p w:rsidR="00000000" w:rsidRPr="002F0BAF" w:rsidP="002F0BAF">
      <w:pPr>
        <w:pStyle w:val="ListBullet"/>
      </w:pPr>
      <w:r w:rsidRPr="002F0BAF">
        <w:t>current Standard for the Uniform Scheduling of Medicines and Poisons (SUSMP) and amendments or plain English guidelines</w:t>
      </w:r>
    </w:p>
    <w:p w:rsidR="00000000" w:rsidRPr="002F0BAF" w:rsidP="002F0BAF">
      <w:pPr>
        <w:pStyle w:val="ListBullet"/>
      </w:pPr>
      <w:r w:rsidRPr="002F0BAF">
        <w:t>organisational procedures for supplying Pharmacy Medicines (S2) and Pharmacist Only Medicines (S3) and products.</w:t>
      </w:r>
    </w:p>
    <w:p w:rsidR="00000000" w:rsidRPr="002F0BAF" w:rsidP="002F0BAF">
      <w:pPr>
        <w:pStyle w:val="BodyText"/>
      </w:pPr>
    </w:p>
    <w:p w:rsidR="00000000" w:rsidRPr="002F0BAF" w:rsidP="006D0BEB">
      <w:pPr>
        <w:pStyle w:val="BodyText"/>
      </w:pPr>
      <w:r w:rsidRPr="002F0BAF">
        <w:t>Assessors must satisfy the Standards for Registered Training Organisation’s requirements for assessors, and:</w:t>
      </w:r>
    </w:p>
    <w:p w:rsidR="00000000" w:rsidRPr="002F0BAF" w:rsidP="002F0BAF">
      <w:pPr>
        <w:pStyle w:val="ListBullet"/>
      </w:pPr>
      <w:r w:rsidRPr="002F0BAF">
        <w:t>have worked in the pharmacy sector for at least two years.</w:t>
      </w:r>
    </w:p>
    <w:p w:rsidR="00000000" w:rsidRPr="002F0BAF" w:rsidP="002F0BAF">
      <w:pPr>
        <w:pStyle w:val="AllowPageBreak"/>
      </w:pPr>
    </w:p>
    <w:p w:rsidR="00000000" w:rsidRPr="002F0BAF" w:rsidP="002F0BAF">
      <w:pPr>
        <w:pStyle w:val="Heading1"/>
      </w:pPr>
      <w:bookmarkStart w:id="14" w:name="O_793797"/>
      <w:bookmarkEnd w:id="14"/>
      <w:r w:rsidRPr="002F0BAF">
        <w:t>Links</w:t>
      </w:r>
    </w:p>
    <w:p w:rsidR="00000000" w:rsidRPr="002F0BAF" w:rsidP="006D0BEB">
      <w:pPr>
        <w:pStyle w:val="BodyText"/>
      </w:pPr>
      <w:r w:rsidRPr="002F0BA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4C55D5">
        <w:rPr>
          <w:rStyle w:val="Hyperlink"/>
        </w:rPr>
        <w:t>https://vetnet.gov.au/Pages/TrainingDocs.aspx?q=ca051b1b-5101-4ec2-ac1c-49699303188d</w:t>
      </w:r>
      <w:r>
        <w:fldChar w:fldCharType="end"/>
      </w:r>
    </w:p>
    <w:p w:rsidR="00000000" w:rsidRPr="002F0BAF" w:rsidP="002F0BAF"/>
    <w:sectPr w:rsidSect="002F0B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rsidRPr="006D0BEB" w:rsidP="006D0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EB" w:rsidP="002F0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0BEB" w:rsidP="002F0B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D0BEB" w:rsidP="002F0B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rsidP="002F0BAF">
    <w:pPr>
      <w:pStyle w:val="Footer"/>
      <w:framePr w:wrap="around"/>
    </w:pPr>
    <w:r>
      <w:fldChar w:fldCharType="begin"/>
    </w:r>
    <w:r>
      <w:instrText xml:space="preserve"> DOCPROPERTY  Subject  \* MERGEFORMAT </w:instrText>
    </w:r>
    <w:r>
      <w:fldChar w:fldCharType="separate"/>
    </w:r>
    <w:r w:rsidR="006D0BEB">
      <w:t>Approved</w:t>
    </w:r>
    <w:r w:rsidR="006D0BEB">
      <w:fldChar w:fldCharType="end"/>
    </w:r>
    <w:r>
      <w:tab/>
      <w:t xml:space="preserve">Page </w:t>
    </w:r>
    <w:r>
      <w:fldChar w:fldCharType="begin"/>
    </w:r>
    <w:r>
      <w:instrText xml:space="preserve"> PAGE  \* Arabic  \* MERGEFORMAT </w:instrText>
    </w:r>
    <w:r>
      <w:fldChar w:fldCharType="separate"/>
    </w:r>
    <w:r w:rsidR="006D0B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BEB">
      <w:rPr>
        <w:noProof/>
      </w:rPr>
      <w:t>5</w:t>
    </w:r>
    <w:r>
      <w:rPr>
        <w:noProof/>
      </w:rPr>
      <w:fldChar w:fldCharType="end"/>
    </w:r>
  </w:p>
  <w:p w:rsidR="002F0BAF" w:rsidP="002F0BAF">
    <w:pPr>
      <w:pStyle w:val="Footer"/>
      <w:framePr w:wrap="around"/>
    </w:pPr>
    <w:r>
      <w:t xml:space="preserve">© Commonwealth of Australia, </w:t>
    </w:r>
    <w:r>
      <w:fldChar w:fldCharType="begin"/>
    </w:r>
    <w:r>
      <w:instrText xml:space="preserve"> DATE  \@ "yyyy"  \* MERGEFORMAT </w:instrText>
    </w:r>
    <w:r>
      <w:fldChar w:fldCharType="separate"/>
    </w:r>
    <w:r w:rsidR="006D0BEB">
      <w:rPr>
        <w:noProof/>
      </w:rPr>
      <w:t>2025</w:t>
    </w:r>
    <w:r>
      <w:fldChar w:fldCharType="end"/>
    </w:r>
    <w:r>
      <w:tab/>
    </w:r>
    <w:r>
      <w:fldChar w:fldCharType="begin"/>
    </w:r>
    <w:r>
      <w:instrText xml:space="preserve"> DOCPROPERTY  Author  \* MERGEFORMAT </w:instrText>
    </w:r>
    <w:r>
      <w:fldChar w:fldCharType="separate"/>
    </w:r>
    <w:r w:rsidR="006D0BEB">
      <w:t>Service and Creative Skills Australia</w:t>
    </w:r>
    <w:r w:rsidR="006D0BEB">
      <w:fldChar w:fldCharType="end"/>
    </w:r>
  </w:p>
  <w:p w:rsidR="002F0BAF" w:rsidP="002F0B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BAF" w:rsidRPr="006D0BEB" w:rsidP="006D0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EB" w:rsidRPr="002D2AF8" w:rsidP="002F0BAF">
    <w:pPr>
      <w:pStyle w:val="Header"/>
      <w:framePr w:wrap="around"/>
    </w:pPr>
    <w:r>
      <w:fldChar w:fldCharType="begin"/>
    </w:r>
    <w:r>
      <w:instrText xml:space="preserve"> TITLE   \* MERGEFORMAT </w:instrText>
    </w:r>
    <w:r>
      <w:fldChar w:fldCharType="separate"/>
    </w:r>
    <w:r>
      <w:t>SIRCIND002 Support the supply of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BEB" w:rsidP="002F0B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F" w:rsidRPr="002D2AF8" w:rsidP="002F0BAF">
    <w:pPr>
      <w:pStyle w:val="Header"/>
      <w:framePr w:wrap="around"/>
    </w:pPr>
    <w:r>
      <w:fldChar w:fldCharType="begin"/>
    </w:r>
    <w:r>
      <w:instrText xml:space="preserve"> TITLE   \* MERGEFORMAT </w:instrText>
    </w:r>
    <w:r>
      <w:fldChar w:fldCharType="separate"/>
    </w:r>
    <w:r w:rsidR="006D0BEB">
      <w:t>SIRCIND002 Support the supply of Pharmacy Medicines and Pharmacist Only Medicines</w:t>
    </w:r>
    <w:r w:rsidR="006D0BEB">
      <w:fldChar w:fldCharType="end"/>
    </w:r>
    <w:r>
      <w:tab/>
      <w:t xml:space="preserve">Date this document was generated: </w:t>
    </w:r>
    <w:r>
      <w:fldChar w:fldCharType="begin"/>
    </w:r>
    <w:r>
      <w:instrText xml:space="preserve"> CREATEDATE  \@ "d MMMM yyyy"  \* MERGEFORMAT </w:instrText>
    </w:r>
    <w:r>
      <w:fldChar w:fldCharType="separate"/>
    </w:r>
    <w:r w:rsidR="006D0BEB">
      <w:rPr>
        <w:noProof/>
      </w:rPr>
      <w:t>2 March 2025</w:t>
    </w:r>
    <w:r>
      <w:fldChar w:fldCharType="end"/>
    </w:r>
  </w:p>
  <w:p w:rsidR="002F0BAF" w:rsidP="002F0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E5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61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A1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BAF"/>
    <w:pPr>
      <w:spacing w:before="360" w:after="60"/>
      <w:outlineLvl w:val="0"/>
    </w:pPr>
    <w:rPr>
      <w:sz w:val="32"/>
    </w:rPr>
  </w:style>
  <w:style w:type="paragraph" w:styleId="Heading2">
    <w:name w:val="heading 2"/>
    <w:basedOn w:val="HeadingBase"/>
    <w:next w:val="BodyText"/>
    <w:link w:val="Heading2Char"/>
    <w:qFormat/>
    <w:rsid w:val="002F0BAF"/>
    <w:pPr>
      <w:keepLines/>
      <w:spacing w:before="240" w:after="120"/>
      <w:outlineLvl w:val="1"/>
    </w:pPr>
    <w:rPr>
      <w:sz w:val="28"/>
      <w:szCs w:val="40"/>
    </w:rPr>
  </w:style>
  <w:style w:type="paragraph" w:styleId="Heading3">
    <w:name w:val="heading 3"/>
    <w:basedOn w:val="HeadingBase"/>
    <w:next w:val="BodyText"/>
    <w:link w:val="Heading3Char"/>
    <w:qFormat/>
    <w:rsid w:val="002F0BAF"/>
    <w:pPr>
      <w:spacing w:before="180" w:after="120"/>
      <w:outlineLvl w:val="2"/>
    </w:pPr>
    <w:rPr>
      <w:spacing w:val="-10"/>
      <w:kern w:val="32"/>
    </w:rPr>
  </w:style>
  <w:style w:type="paragraph" w:styleId="Heading4">
    <w:name w:val="heading 4"/>
    <w:basedOn w:val="HeadingBase"/>
    <w:next w:val="BodyText"/>
    <w:link w:val="Heading4Char"/>
    <w:qFormat/>
    <w:rsid w:val="002F0BAF"/>
    <w:pPr>
      <w:spacing w:before="160" w:after="120"/>
      <w:outlineLvl w:val="3"/>
    </w:pPr>
    <w:rPr>
      <w:sz w:val="22"/>
    </w:rPr>
  </w:style>
  <w:style w:type="paragraph" w:styleId="Heading5">
    <w:name w:val="heading 5"/>
    <w:basedOn w:val="HeadingBase"/>
    <w:next w:val="Normal"/>
    <w:link w:val="Heading5Char"/>
    <w:qFormat/>
    <w:rsid w:val="002F0BAF"/>
    <w:pPr>
      <w:spacing w:before="80"/>
      <w:outlineLvl w:val="4"/>
    </w:pPr>
    <w:rPr>
      <w:color w:val="918585"/>
      <w:sz w:val="20"/>
    </w:rPr>
  </w:style>
  <w:style w:type="paragraph" w:styleId="Heading6">
    <w:name w:val="heading 6"/>
    <w:basedOn w:val="HeadingBase"/>
    <w:next w:val="Normal"/>
    <w:link w:val="Heading6Char"/>
    <w:qFormat/>
    <w:rsid w:val="002F0BAF"/>
    <w:pPr>
      <w:spacing w:before="60"/>
      <w:outlineLvl w:val="5"/>
    </w:pPr>
    <w:rPr>
      <w:color w:val="918585"/>
      <w:sz w:val="20"/>
    </w:rPr>
  </w:style>
  <w:style w:type="paragraph" w:styleId="Heading7">
    <w:name w:val="heading 7"/>
    <w:basedOn w:val="Normal"/>
    <w:next w:val="Normal"/>
    <w:link w:val="Heading7Char"/>
    <w:qFormat/>
    <w:rsid w:val="002F0BAF"/>
    <w:pPr>
      <w:ind w:left="720"/>
      <w:outlineLvl w:val="6"/>
    </w:pPr>
    <w:rPr>
      <w:i/>
    </w:rPr>
  </w:style>
  <w:style w:type="paragraph" w:styleId="Heading8">
    <w:name w:val="heading 8"/>
    <w:basedOn w:val="Normal"/>
    <w:next w:val="Normal"/>
    <w:link w:val="Heading8Char"/>
    <w:qFormat/>
    <w:rsid w:val="002F0BAF"/>
    <w:pPr>
      <w:ind w:left="720"/>
      <w:outlineLvl w:val="7"/>
    </w:pPr>
    <w:rPr>
      <w:i/>
    </w:rPr>
  </w:style>
  <w:style w:type="paragraph" w:styleId="Heading9">
    <w:name w:val="heading 9"/>
    <w:basedOn w:val="Normal"/>
    <w:next w:val="Normal"/>
    <w:link w:val="Heading9Char"/>
    <w:qFormat/>
    <w:rsid w:val="002F0BAF"/>
    <w:pPr>
      <w:ind w:left="720"/>
      <w:outlineLvl w:val="8"/>
    </w:pPr>
    <w:rPr>
      <w:i/>
    </w:rPr>
  </w:style>
  <w:style w:type="character" w:default="1" w:styleId="DefaultParagraphFont">
    <w:name w:val="Default Paragraph Font"/>
    <w:uiPriority w:val="1"/>
    <w:unhideWhenUsed/>
    <w:rsid w:val="002F0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BAF"/>
  </w:style>
  <w:style w:type="character" w:customStyle="1" w:styleId="Heading1Char">
    <w:name w:val="Heading 1 Char"/>
    <w:basedOn w:val="DefaultParagraphFont"/>
    <w:link w:val="Heading1"/>
    <w:rsid w:val="002F0BAF"/>
    <w:rPr>
      <w:rFonts w:ascii="Times New Roman" w:eastAsia="Times New Roman" w:hAnsi="Times New Roman" w:cs="Times New Roman"/>
      <w:b/>
      <w:sz w:val="32"/>
      <w:szCs w:val="20"/>
      <w:lang w:eastAsia="en-US"/>
    </w:rPr>
  </w:style>
  <w:style w:type="paragraph" w:styleId="BodyText">
    <w:name w:val="Body Text"/>
    <w:basedOn w:val="Normal"/>
    <w:link w:val="BodyTextChar"/>
    <w:rsid w:val="002F0B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BAF"/>
    <w:rPr>
      <w:rFonts w:ascii="Times New Roman" w:eastAsia="Times New Roman" w:hAnsi="Times New Roman" w:cs="Times New Roman"/>
      <w:sz w:val="24"/>
      <w:lang w:eastAsia="en-US"/>
    </w:rPr>
  </w:style>
  <w:style w:type="paragraph" w:styleId="List">
    <w:name w:val="List"/>
    <w:basedOn w:val="BodyText"/>
    <w:next w:val="BodyText"/>
    <w:rsid w:val="002F0BAF"/>
    <w:pPr>
      <w:tabs>
        <w:tab w:val="left" w:pos="340"/>
      </w:tabs>
      <w:spacing w:before="60" w:after="60"/>
      <w:ind w:left="340" w:hanging="340"/>
    </w:pPr>
  </w:style>
  <w:style w:type="paragraph" w:styleId="ListBullet">
    <w:name w:val="List Bullet"/>
    <w:basedOn w:val="List"/>
    <w:rsid w:val="002F0BAF"/>
    <w:pPr>
      <w:numPr>
        <w:numId w:val="13"/>
      </w:numPr>
      <w:tabs>
        <w:tab w:val="clear" w:pos="340"/>
      </w:tabs>
      <w:spacing w:before="40" w:after="40"/>
    </w:pPr>
  </w:style>
  <w:style w:type="character" w:customStyle="1" w:styleId="SpecialBold">
    <w:name w:val="Special Bold"/>
    <w:basedOn w:val="DefaultParagraphFont"/>
    <w:rsid w:val="002F0BAF"/>
    <w:rPr>
      <w:b/>
      <w:spacing w:val="0"/>
    </w:rPr>
  </w:style>
  <w:style w:type="paragraph" w:styleId="ListBullet2">
    <w:name w:val="List Bullet 2"/>
    <w:basedOn w:val="List2"/>
    <w:rsid w:val="002F0BAF"/>
    <w:pPr>
      <w:numPr>
        <w:numId w:val="14"/>
      </w:numPr>
      <w:tabs>
        <w:tab w:val="clear" w:pos="680"/>
      </w:tabs>
    </w:pPr>
  </w:style>
  <w:style w:type="paragraph" w:customStyle="1" w:styleId="SuperHeading">
    <w:name w:val="SuperHeading"/>
    <w:basedOn w:val="Normal"/>
    <w:rsid w:val="002F0BAF"/>
    <w:pPr>
      <w:spacing w:before="240" w:after="120"/>
      <w:outlineLvl w:val="0"/>
    </w:pPr>
    <w:rPr>
      <w:rFonts w:ascii="Times New Roman" w:hAnsi="Times New Roman"/>
      <w:b/>
      <w:sz w:val="32"/>
    </w:rPr>
  </w:style>
  <w:style w:type="paragraph" w:customStyle="1" w:styleId="AllowPageBreak">
    <w:name w:val="AllowPageBreak"/>
    <w:rsid w:val="002F0B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0BAF"/>
    <w:pPr>
      <w:numPr>
        <w:numId w:val="3"/>
      </w:numPr>
      <w:tabs>
        <w:tab w:val="clear" w:pos="1021"/>
      </w:tabs>
      <w:ind w:left="1037" w:hanging="357"/>
    </w:pPr>
  </w:style>
  <w:style w:type="character" w:customStyle="1" w:styleId="Heading2Char">
    <w:name w:val="Heading 2 Char"/>
    <w:basedOn w:val="DefaultParagraphFont"/>
    <w:link w:val="Heading2"/>
    <w:rsid w:val="002F0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BAF"/>
    <w:rPr>
      <w:rFonts w:ascii="Courier New" w:eastAsia="Times New Roman" w:hAnsi="Courier New" w:cs="Times New Roman"/>
      <w:i/>
      <w:szCs w:val="20"/>
      <w:lang w:eastAsia="en-US"/>
    </w:rPr>
  </w:style>
  <w:style w:type="paragraph" w:customStyle="1" w:styleId="HeadingBase">
    <w:name w:val="Heading Base"/>
    <w:rsid w:val="002F0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BAF"/>
    <w:pPr>
      <w:tabs>
        <w:tab w:val="right" w:leader="dot" w:pos="9072"/>
      </w:tabs>
      <w:ind w:left="567"/>
    </w:pPr>
    <w:rPr>
      <w:szCs w:val="22"/>
    </w:rPr>
  </w:style>
  <w:style w:type="paragraph" w:customStyle="1" w:styleId="TOCBase">
    <w:name w:val="TOC Base"/>
    <w:rsid w:val="002F0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BAF"/>
    <w:pPr>
      <w:tabs>
        <w:tab w:val="right" w:leader="dot" w:pos="9072"/>
      </w:tabs>
      <w:spacing w:before="40" w:after="40"/>
      <w:ind w:left="284"/>
    </w:pPr>
    <w:rPr>
      <w:rFonts w:ascii="Times New Roman" w:hAnsi="Times New Roman"/>
    </w:rPr>
  </w:style>
  <w:style w:type="paragraph" w:styleId="TOC1">
    <w:name w:val="toc 1"/>
    <w:basedOn w:val="TOCBase"/>
    <w:next w:val="Normal"/>
    <w:rsid w:val="002F0B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BAF"/>
    <w:rPr>
      <w:rFonts w:ascii="Times New Roman" w:eastAsia="Times New Roman" w:hAnsi="Times New Roman" w:cs="Times New Roman"/>
      <w:sz w:val="16"/>
      <w:lang w:eastAsia="en-US"/>
    </w:rPr>
  </w:style>
  <w:style w:type="paragraph" w:styleId="Title">
    <w:name w:val="Title"/>
    <w:basedOn w:val="HeadingBase"/>
    <w:link w:val="TitleChar"/>
    <w:qFormat/>
    <w:rsid w:val="002F0BAF"/>
    <w:pPr>
      <w:spacing w:before="5040"/>
      <w:jc w:val="center"/>
    </w:pPr>
    <w:rPr>
      <w:sz w:val="48"/>
      <w:szCs w:val="72"/>
      <w:lang w:val="en-US"/>
    </w:rPr>
  </w:style>
  <w:style w:type="character" w:customStyle="1" w:styleId="TitleChar">
    <w:name w:val="Title Char"/>
    <w:basedOn w:val="DefaultParagraphFont"/>
    <w:link w:val="Title"/>
    <w:rsid w:val="002F0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BAF"/>
    <w:pPr>
      <w:tabs>
        <w:tab w:val="left" w:pos="3600"/>
        <w:tab w:val="left" w:pos="3958"/>
      </w:tabs>
    </w:pPr>
  </w:style>
  <w:style w:type="paragraph" w:customStyle="1" w:styleId="Note">
    <w:name w:val="Note"/>
    <w:basedOn w:val="BodyText"/>
    <w:rsid w:val="002F0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BAF"/>
    <w:pPr>
      <w:framePr w:wrap="auto" w:hAnchor="text" w:y="6049"/>
    </w:pPr>
    <w:rPr>
      <w:color w:val="000000"/>
      <w:sz w:val="40"/>
    </w:rPr>
  </w:style>
  <w:style w:type="paragraph" w:customStyle="1" w:styleId="TOCTitle">
    <w:name w:val="TOCTitle"/>
    <w:basedOn w:val="Heading1"/>
    <w:rsid w:val="002F0BAF"/>
    <w:pPr>
      <w:spacing w:after="240"/>
      <w:jc w:val="center"/>
      <w:outlineLvl w:val="9"/>
    </w:pPr>
    <w:rPr>
      <w:caps/>
    </w:rPr>
  </w:style>
  <w:style w:type="paragraph" w:customStyle="1" w:styleId="Version">
    <w:name w:val="Version"/>
    <w:rsid w:val="002F0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BAF"/>
    <w:pPr>
      <w:keepNext w:val="0"/>
      <w:tabs>
        <w:tab w:val="right" w:pos="4176"/>
      </w:tabs>
      <w:ind w:left="198" w:hanging="198"/>
    </w:pPr>
    <w:rPr>
      <w:rFonts w:ascii="Garamond" w:hAnsi="Garamond"/>
    </w:rPr>
  </w:style>
  <w:style w:type="paragraph" w:styleId="IndexHeading">
    <w:name w:val="index heading"/>
    <w:basedOn w:val="Normal"/>
    <w:next w:val="Index1"/>
    <w:semiHidden/>
    <w:rsid w:val="002F0BAF"/>
    <w:pPr>
      <w:spacing w:before="120" w:after="120"/>
    </w:pPr>
    <w:rPr>
      <w:rFonts w:ascii="Arial" w:hAnsi="Arial"/>
      <w:b/>
      <w:color w:val="918585"/>
      <w:sz w:val="24"/>
    </w:rPr>
  </w:style>
  <w:style w:type="paragraph" w:styleId="Header">
    <w:name w:val="header"/>
    <w:basedOn w:val="Normal"/>
    <w:link w:val="HeaderChar"/>
    <w:rsid w:val="002F0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BAF"/>
    <w:rPr>
      <w:rFonts w:ascii="Times New Roman" w:eastAsia="Times New Roman" w:hAnsi="Times New Roman" w:cs="Times New Roman"/>
      <w:sz w:val="16"/>
      <w:szCs w:val="20"/>
      <w:lang w:val="en-GB" w:eastAsia="en-US"/>
    </w:rPr>
  </w:style>
  <w:style w:type="paragraph" w:customStyle="1" w:styleId="Chapter">
    <w:name w:val="Chapter"/>
    <w:basedOn w:val="Normal"/>
    <w:rsid w:val="002F0BAF"/>
    <w:pPr>
      <w:spacing w:before="240"/>
    </w:pPr>
    <w:rPr>
      <w:rFonts w:ascii="Times New Roman" w:hAnsi="Times New Roman"/>
      <w:smallCaps/>
      <w:spacing w:val="80"/>
      <w:sz w:val="28"/>
    </w:rPr>
  </w:style>
  <w:style w:type="paragraph" w:customStyle="1" w:styleId="InChapter">
    <w:name w:val="InChapter"/>
    <w:basedOn w:val="Heading3"/>
    <w:rsid w:val="002F0BAF"/>
    <w:pPr>
      <w:spacing w:after="240"/>
      <w:outlineLvl w:val="9"/>
    </w:pPr>
    <w:rPr>
      <w:noProof/>
    </w:rPr>
  </w:style>
  <w:style w:type="paragraph" w:styleId="Index2">
    <w:name w:val="index 2"/>
    <w:basedOn w:val="Normal"/>
    <w:next w:val="Normal"/>
    <w:semiHidden/>
    <w:rsid w:val="002F0BAF"/>
    <w:pPr>
      <w:tabs>
        <w:tab w:val="right" w:pos="4176"/>
      </w:tabs>
      <w:ind w:left="568" w:hanging="284"/>
    </w:pPr>
    <w:rPr>
      <w:rFonts w:ascii="Garamond" w:hAnsi="Garamond"/>
    </w:rPr>
  </w:style>
  <w:style w:type="paragraph" w:customStyle="1" w:styleId="Byline">
    <w:name w:val="Byline"/>
    <w:rsid w:val="002F0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BAF"/>
    <w:pPr>
      <w:tabs>
        <w:tab w:val="clear" w:pos="3600"/>
        <w:tab w:val="clear" w:pos="3958"/>
      </w:tabs>
      <w:jc w:val="right"/>
    </w:pPr>
  </w:style>
  <w:style w:type="character" w:styleId="Emphasis">
    <w:name w:val="Emphasis"/>
    <w:basedOn w:val="DefaultParagraphFont"/>
    <w:qFormat/>
    <w:rsid w:val="002F0BAF"/>
    <w:rPr>
      <w:i/>
    </w:rPr>
  </w:style>
  <w:style w:type="paragraph" w:styleId="Caption">
    <w:name w:val="caption"/>
    <w:basedOn w:val="BodyText"/>
    <w:next w:val="Normal"/>
    <w:qFormat/>
    <w:rsid w:val="002F0BAF"/>
    <w:pPr>
      <w:framePr w:w="2268" w:hSpace="181" w:vSpace="181" w:wrap="around" w:vAnchor="text" w:hAnchor="page" w:x="1135" w:y="285" w:anchorLock="1"/>
    </w:pPr>
    <w:rPr>
      <w:i/>
    </w:rPr>
  </w:style>
  <w:style w:type="paragraph" w:customStyle="1" w:styleId="MiniTOCTitle">
    <w:name w:val="MiniTOCTitle"/>
    <w:basedOn w:val="Heading4"/>
    <w:rsid w:val="002F0BAF"/>
    <w:pPr>
      <w:spacing w:before="240"/>
      <w:outlineLvl w:val="9"/>
    </w:pPr>
    <w:rPr>
      <w:noProof/>
      <w:sz w:val="24"/>
    </w:rPr>
  </w:style>
  <w:style w:type="paragraph" w:customStyle="1" w:styleId="MiniTOCItem">
    <w:name w:val="MiniTOCItem"/>
    <w:basedOn w:val="ListBullet"/>
    <w:rsid w:val="002F0BAF"/>
    <w:pPr>
      <w:numPr>
        <w:numId w:val="0"/>
      </w:numPr>
      <w:tabs>
        <w:tab w:val="right" w:leader="dot" w:pos="6521"/>
      </w:tabs>
      <w:spacing w:before="0" w:after="0"/>
    </w:pPr>
  </w:style>
  <w:style w:type="paragraph" w:customStyle="1" w:styleId="TOFTitle">
    <w:name w:val="TOFTitle"/>
    <w:basedOn w:val="TOCTitle"/>
    <w:rsid w:val="002F0BAF"/>
  </w:style>
  <w:style w:type="paragraph" w:styleId="TableofFigures">
    <w:name w:val="table of figures"/>
    <w:basedOn w:val="Normal"/>
    <w:next w:val="Normal"/>
    <w:semiHidden/>
    <w:rsid w:val="002F0BAF"/>
    <w:pPr>
      <w:tabs>
        <w:tab w:val="right" w:leader="dot" w:pos="9072"/>
      </w:tabs>
      <w:ind w:left="970" w:hanging="403"/>
    </w:pPr>
    <w:rPr>
      <w:rFonts w:ascii="Times New Roman" w:hAnsi="Times New Roman"/>
      <w:b/>
    </w:rPr>
  </w:style>
  <w:style w:type="paragraph" w:styleId="ListNumber">
    <w:name w:val="List Number"/>
    <w:basedOn w:val="List"/>
    <w:rsid w:val="002F0BAF"/>
    <w:pPr>
      <w:numPr>
        <w:numId w:val="16"/>
      </w:numPr>
      <w:tabs>
        <w:tab w:val="clear" w:pos="340"/>
      </w:tabs>
    </w:pPr>
  </w:style>
  <w:style w:type="character" w:customStyle="1" w:styleId="WingdingSymbols">
    <w:name w:val="Wingding Symbols"/>
    <w:rsid w:val="002F0BAF"/>
    <w:rPr>
      <w:rFonts w:ascii="Wingdings" w:hAnsi="Wingdings"/>
    </w:rPr>
  </w:style>
  <w:style w:type="paragraph" w:customStyle="1" w:styleId="TableHeading">
    <w:name w:val="Table Heading"/>
    <w:basedOn w:val="HeadingBase"/>
    <w:rsid w:val="002F0BAF"/>
    <w:pPr>
      <w:keepLines/>
      <w:pBdr>
        <w:bottom w:val="single" w:sz="6" w:space="1" w:color="918585"/>
      </w:pBdr>
      <w:spacing w:before="240"/>
    </w:pPr>
  </w:style>
  <w:style w:type="character" w:customStyle="1" w:styleId="HotSpot">
    <w:name w:val="HotSpot"/>
    <w:rsid w:val="002F0BAF"/>
    <w:rPr>
      <w:color w:val="0033CC"/>
      <w:u w:val="none"/>
    </w:rPr>
  </w:style>
  <w:style w:type="paragraph" w:customStyle="1" w:styleId="BodyTextRight">
    <w:name w:val="Body Text Right"/>
    <w:basedOn w:val="BodyText"/>
    <w:rsid w:val="002F0BAF"/>
    <w:pPr>
      <w:spacing w:before="0" w:after="0"/>
      <w:jc w:val="right"/>
    </w:pPr>
  </w:style>
  <w:style w:type="paragraph" w:styleId="Index3">
    <w:name w:val="index 3"/>
    <w:basedOn w:val="ListNumber2"/>
    <w:next w:val="Normal"/>
    <w:semiHidden/>
    <w:rsid w:val="002F0BAF"/>
    <w:pPr>
      <w:numPr>
        <w:numId w:val="0"/>
      </w:numPr>
      <w:tabs>
        <w:tab w:val="right" w:leader="dot" w:pos="4176"/>
      </w:tabs>
    </w:pPr>
  </w:style>
  <w:style w:type="paragraph" w:styleId="ListNumber2">
    <w:name w:val="List Number 2"/>
    <w:basedOn w:val="List2"/>
    <w:rsid w:val="002F0BAF"/>
    <w:pPr>
      <w:numPr>
        <w:numId w:val="11"/>
      </w:numPr>
      <w:tabs>
        <w:tab w:val="clear" w:pos="1060"/>
      </w:tabs>
    </w:pPr>
  </w:style>
  <w:style w:type="paragraph" w:customStyle="1" w:styleId="MarginNote">
    <w:name w:val="Margin Note"/>
    <w:basedOn w:val="BodyText"/>
    <w:rsid w:val="002F0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BAF"/>
    <w:rPr>
      <w:sz w:val="32"/>
    </w:rPr>
  </w:style>
  <w:style w:type="paragraph" w:customStyle="1" w:styleId="HeadingProcedure">
    <w:name w:val="Heading Procedure"/>
    <w:basedOn w:val="HeadingBase"/>
    <w:next w:val="Normal"/>
    <w:rsid w:val="002F0BAF"/>
    <w:pPr>
      <w:tabs>
        <w:tab w:val="left" w:pos="0"/>
      </w:tabs>
      <w:spacing w:before="120" w:after="60"/>
    </w:pPr>
    <w:rPr>
      <w:i/>
      <w:color w:val="918585"/>
      <w:sz w:val="22"/>
    </w:rPr>
  </w:style>
  <w:style w:type="paragraph" w:customStyle="1" w:styleId="TableBodyText">
    <w:name w:val="Table Body Text"/>
    <w:basedOn w:val="BodyText"/>
    <w:rsid w:val="002F0BAF"/>
    <w:pPr>
      <w:spacing w:before="60" w:after="60"/>
    </w:pPr>
  </w:style>
  <w:style w:type="paragraph" w:styleId="ListContinue">
    <w:name w:val="List Continue"/>
    <w:basedOn w:val="List"/>
    <w:rsid w:val="002F0BAF"/>
    <w:pPr>
      <w:ind w:firstLine="0"/>
    </w:pPr>
  </w:style>
  <w:style w:type="paragraph" w:customStyle="1" w:styleId="ListNote">
    <w:name w:val="List Note"/>
    <w:basedOn w:val="List"/>
    <w:rsid w:val="002F0BAF"/>
    <w:pPr>
      <w:pBdr>
        <w:top w:val="single" w:sz="6" w:space="2" w:color="918585"/>
        <w:bottom w:val="single" w:sz="6" w:space="2" w:color="918585"/>
      </w:pBdr>
      <w:tabs>
        <w:tab w:val="left" w:pos="1021"/>
      </w:tabs>
      <w:ind w:firstLine="0"/>
    </w:pPr>
  </w:style>
  <w:style w:type="paragraph" w:customStyle="1" w:styleId="Warning">
    <w:name w:val="Warning"/>
    <w:basedOn w:val="BodyText"/>
    <w:rsid w:val="002F0BAF"/>
    <w:pPr>
      <w:shd w:val="clear" w:color="auto" w:fill="D9D9D9"/>
      <w:tabs>
        <w:tab w:val="left" w:pos="992"/>
      </w:tabs>
      <w:ind w:left="119" w:right="119"/>
    </w:pPr>
    <w:rPr>
      <w:sz w:val="20"/>
    </w:rPr>
  </w:style>
  <w:style w:type="paragraph" w:customStyle="1" w:styleId="MarginIcons">
    <w:name w:val="Margin Icons"/>
    <w:basedOn w:val="BodyText"/>
    <w:rsid w:val="002F0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BAF"/>
    <w:rPr>
      <w:rFonts w:ascii="Courier New" w:hAnsi="Courier New"/>
    </w:rPr>
  </w:style>
  <w:style w:type="paragraph" w:customStyle="1" w:styleId="NoteBullet">
    <w:name w:val="Note Bullet"/>
    <w:basedOn w:val="Note"/>
    <w:rsid w:val="002F0BAF"/>
    <w:pPr>
      <w:tabs>
        <w:tab w:val="clear" w:pos="680"/>
      </w:tabs>
      <w:spacing w:before="60" w:after="60"/>
    </w:pPr>
  </w:style>
  <w:style w:type="paragraph" w:customStyle="1" w:styleId="SubHeading2">
    <w:name w:val="SubHeading2"/>
    <w:basedOn w:val="HeadingBase"/>
    <w:rsid w:val="002F0BAF"/>
    <w:pPr>
      <w:spacing w:before="240" w:after="60"/>
    </w:pPr>
    <w:rPr>
      <w:sz w:val="20"/>
    </w:rPr>
  </w:style>
  <w:style w:type="paragraph" w:customStyle="1" w:styleId="SubHeading1">
    <w:name w:val="SubHeading1"/>
    <w:basedOn w:val="HeadingBase"/>
    <w:rsid w:val="002F0BAF"/>
    <w:pPr>
      <w:spacing w:before="240" w:after="60"/>
    </w:pPr>
    <w:rPr>
      <w:color w:val="918585"/>
      <w:sz w:val="22"/>
    </w:rPr>
  </w:style>
  <w:style w:type="paragraph" w:customStyle="1" w:styleId="SideHeading">
    <w:name w:val="Side Heading"/>
    <w:basedOn w:val="HeadingBase"/>
    <w:rsid w:val="002F0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BAF"/>
    <w:pPr>
      <w:numPr>
        <w:numId w:val="12"/>
      </w:numPr>
    </w:pPr>
  </w:style>
  <w:style w:type="paragraph" w:styleId="PlainText">
    <w:name w:val="Plain Text"/>
    <w:basedOn w:val="Normal"/>
    <w:link w:val="PlainTextChar"/>
    <w:rsid w:val="002F0BAF"/>
    <w:rPr>
      <w:sz w:val="20"/>
    </w:rPr>
  </w:style>
  <w:style w:type="character" w:customStyle="1" w:styleId="PlainTextChar">
    <w:name w:val="Plain Text Char"/>
    <w:basedOn w:val="DefaultParagraphFont"/>
    <w:link w:val="PlainText"/>
    <w:rsid w:val="002F0BAF"/>
    <w:rPr>
      <w:rFonts w:ascii="Courier New" w:eastAsia="Times New Roman" w:hAnsi="Courier New" w:cs="Times New Roman"/>
      <w:sz w:val="20"/>
      <w:szCs w:val="20"/>
      <w:lang w:eastAsia="en-US"/>
    </w:rPr>
  </w:style>
  <w:style w:type="character" w:customStyle="1" w:styleId="MenuOption">
    <w:name w:val="Menu Option"/>
    <w:basedOn w:val="DefaultParagraphFont"/>
    <w:rsid w:val="002F0BAF"/>
    <w:rPr>
      <w:b/>
      <w:smallCaps/>
    </w:rPr>
  </w:style>
  <w:style w:type="paragraph" w:customStyle="1" w:styleId="TableListNumber">
    <w:name w:val="Table List Number"/>
    <w:basedOn w:val="ListNumber"/>
    <w:rsid w:val="002F0BAF"/>
    <w:pPr>
      <w:numPr>
        <w:numId w:val="0"/>
      </w:numPr>
    </w:pPr>
  </w:style>
  <w:style w:type="paragraph" w:styleId="TOC4">
    <w:name w:val="toc 4"/>
    <w:basedOn w:val="TOCBase"/>
    <w:next w:val="Normal"/>
    <w:semiHidden/>
    <w:rsid w:val="002F0BAF"/>
    <w:pPr>
      <w:tabs>
        <w:tab w:val="right" w:leader="dot" w:pos="9071"/>
      </w:tabs>
      <w:ind w:left="1701"/>
    </w:pPr>
  </w:style>
  <w:style w:type="paragraph" w:customStyle="1" w:styleId="ListAlpha">
    <w:name w:val="List Alpha"/>
    <w:basedOn w:val="List"/>
    <w:rsid w:val="002F0BAF"/>
    <w:pPr>
      <w:numPr>
        <w:numId w:val="10"/>
      </w:numPr>
    </w:pPr>
  </w:style>
  <w:style w:type="paragraph" w:customStyle="1" w:styleId="ListAlpha2">
    <w:name w:val="List Alpha 2"/>
    <w:basedOn w:val="List2"/>
    <w:rsid w:val="002F0BAF"/>
    <w:pPr>
      <w:numPr>
        <w:numId w:val="9"/>
      </w:numPr>
    </w:pPr>
  </w:style>
  <w:style w:type="paragraph" w:styleId="List2">
    <w:name w:val="List 2"/>
    <w:basedOn w:val="BodyText"/>
    <w:rsid w:val="002F0BAF"/>
    <w:pPr>
      <w:tabs>
        <w:tab w:val="left" w:pos="680"/>
      </w:tabs>
      <w:spacing w:before="60" w:after="60"/>
      <w:ind w:left="680" w:hanging="340"/>
    </w:pPr>
  </w:style>
  <w:style w:type="paragraph" w:styleId="List3">
    <w:name w:val="List 3"/>
    <w:basedOn w:val="BodyText"/>
    <w:rsid w:val="002F0BAF"/>
    <w:pPr>
      <w:tabs>
        <w:tab w:val="left" w:pos="1021"/>
      </w:tabs>
      <w:spacing w:before="60" w:after="60"/>
      <w:ind w:left="1020" w:hanging="340"/>
    </w:pPr>
  </w:style>
  <w:style w:type="paragraph" w:styleId="List4">
    <w:name w:val="List 4"/>
    <w:basedOn w:val="BodyText"/>
    <w:rsid w:val="002F0BAF"/>
    <w:pPr>
      <w:tabs>
        <w:tab w:val="left" w:pos="1361"/>
      </w:tabs>
      <w:spacing w:before="60" w:after="60"/>
      <w:ind w:left="1361" w:hanging="340"/>
    </w:pPr>
  </w:style>
  <w:style w:type="paragraph" w:styleId="List5">
    <w:name w:val="List 5"/>
    <w:basedOn w:val="BodyText"/>
    <w:rsid w:val="002F0BAF"/>
    <w:pPr>
      <w:tabs>
        <w:tab w:val="left" w:pos="1701"/>
      </w:tabs>
      <w:spacing w:before="60" w:after="60"/>
      <w:ind w:left="1701" w:hanging="340"/>
    </w:pPr>
  </w:style>
  <w:style w:type="paragraph" w:styleId="ListBullet4">
    <w:name w:val="List Bullet 4"/>
    <w:basedOn w:val="List4"/>
    <w:rsid w:val="002F0BAF"/>
    <w:pPr>
      <w:numPr>
        <w:numId w:val="4"/>
      </w:numPr>
      <w:tabs>
        <w:tab w:val="clear" w:pos="1361"/>
      </w:tabs>
    </w:pPr>
  </w:style>
  <w:style w:type="paragraph" w:styleId="ListBullet5">
    <w:name w:val="List Bullet 5"/>
    <w:basedOn w:val="List5"/>
    <w:rsid w:val="002F0BAF"/>
    <w:pPr>
      <w:numPr>
        <w:numId w:val="5"/>
      </w:numPr>
    </w:pPr>
  </w:style>
  <w:style w:type="paragraph" w:styleId="ListContinue2">
    <w:name w:val="List Continue 2"/>
    <w:basedOn w:val="List2"/>
    <w:rsid w:val="002F0BAF"/>
    <w:pPr>
      <w:ind w:firstLine="0"/>
    </w:pPr>
  </w:style>
  <w:style w:type="paragraph" w:styleId="ListContinue3">
    <w:name w:val="List Continue 3"/>
    <w:basedOn w:val="List3"/>
    <w:rsid w:val="002F0BAF"/>
    <w:pPr>
      <w:ind w:left="1021" w:firstLine="0"/>
    </w:pPr>
  </w:style>
  <w:style w:type="paragraph" w:styleId="ListContinue4">
    <w:name w:val="List Continue 4"/>
    <w:basedOn w:val="List4"/>
    <w:rsid w:val="002F0BAF"/>
    <w:pPr>
      <w:ind w:firstLine="0"/>
    </w:pPr>
  </w:style>
  <w:style w:type="paragraph" w:styleId="ListContinue5">
    <w:name w:val="List Continue 5"/>
    <w:basedOn w:val="List5"/>
    <w:rsid w:val="002F0BAF"/>
    <w:pPr>
      <w:ind w:firstLine="0"/>
    </w:pPr>
  </w:style>
  <w:style w:type="paragraph" w:styleId="ListNumber3">
    <w:name w:val="List Number 3"/>
    <w:basedOn w:val="List3"/>
    <w:rsid w:val="002F0BAF"/>
    <w:pPr>
      <w:numPr>
        <w:numId w:val="6"/>
      </w:numPr>
    </w:pPr>
  </w:style>
  <w:style w:type="paragraph" w:styleId="ListNumber4">
    <w:name w:val="List Number 4"/>
    <w:basedOn w:val="List4"/>
    <w:rsid w:val="002F0BAF"/>
    <w:pPr>
      <w:numPr>
        <w:numId w:val="7"/>
      </w:numPr>
    </w:pPr>
  </w:style>
  <w:style w:type="paragraph" w:styleId="ListNumber5">
    <w:name w:val="List Number 5"/>
    <w:basedOn w:val="List5"/>
    <w:rsid w:val="002F0BAF"/>
    <w:pPr>
      <w:numPr>
        <w:numId w:val="8"/>
      </w:numPr>
    </w:pPr>
  </w:style>
  <w:style w:type="paragraph" w:styleId="BlockText">
    <w:name w:val="Block Text"/>
    <w:basedOn w:val="Normal"/>
    <w:rsid w:val="002F0BAF"/>
    <w:pPr>
      <w:spacing w:after="120"/>
      <w:ind w:left="1440" w:right="1440"/>
    </w:pPr>
  </w:style>
  <w:style w:type="character" w:customStyle="1" w:styleId="Subscript">
    <w:name w:val="Subscript"/>
    <w:basedOn w:val="DefaultParagraphFont"/>
    <w:rsid w:val="002F0BAF"/>
    <w:rPr>
      <w:sz w:val="16"/>
      <w:vertAlign w:val="subscript"/>
    </w:rPr>
  </w:style>
  <w:style w:type="character" w:customStyle="1" w:styleId="Superscript">
    <w:name w:val="Superscript"/>
    <w:basedOn w:val="DefaultParagraphFont"/>
    <w:rsid w:val="002F0BAF"/>
    <w:rPr>
      <w:sz w:val="16"/>
      <w:vertAlign w:val="superscript"/>
    </w:rPr>
  </w:style>
  <w:style w:type="character" w:customStyle="1" w:styleId="Symbols">
    <w:name w:val="Symbols"/>
    <w:basedOn w:val="DefaultParagraphFont"/>
    <w:rsid w:val="002F0BAF"/>
    <w:rPr>
      <w:rFonts w:ascii="Symbol" w:hAnsi="Symbol"/>
    </w:rPr>
  </w:style>
  <w:style w:type="character" w:customStyle="1" w:styleId="MenuOptions">
    <w:name w:val="Menu Options"/>
    <w:basedOn w:val="DefaultParagraphFont"/>
    <w:rsid w:val="002F0BAF"/>
    <w:rPr>
      <w:rFonts w:ascii="Arial Narrow" w:hAnsi="Arial Narrow"/>
      <w:smallCaps/>
    </w:rPr>
  </w:style>
  <w:style w:type="character" w:customStyle="1" w:styleId="Buttons">
    <w:name w:val="Buttons"/>
    <w:basedOn w:val="DefaultParagraphFont"/>
    <w:rsid w:val="002F0BAF"/>
    <w:rPr>
      <w:b/>
    </w:rPr>
  </w:style>
  <w:style w:type="character" w:customStyle="1" w:styleId="Underlined">
    <w:name w:val="Underlined"/>
    <w:basedOn w:val="DefaultParagraphFont"/>
    <w:rsid w:val="002F0BAF"/>
    <w:rPr>
      <w:u w:val="single"/>
    </w:rPr>
  </w:style>
  <w:style w:type="paragraph" w:customStyle="1" w:styleId="TableBodyTextRight">
    <w:name w:val="Table Body Text Right"/>
    <w:basedOn w:val="TableBodyText"/>
    <w:rsid w:val="002F0BAF"/>
    <w:pPr>
      <w:widowControl w:val="0"/>
      <w:autoSpaceDE w:val="0"/>
      <w:autoSpaceDN w:val="0"/>
      <w:adjustRightInd w:val="0"/>
      <w:jc w:val="right"/>
    </w:pPr>
    <w:rPr>
      <w:rFonts w:cs="Arial"/>
      <w:szCs w:val="18"/>
    </w:rPr>
  </w:style>
  <w:style w:type="paragraph" w:customStyle="1" w:styleId="CopyrightText">
    <w:name w:val="Copyright Text"/>
    <w:basedOn w:val="BodyText"/>
    <w:rsid w:val="002F0BAF"/>
    <w:rPr>
      <w:sz w:val="18"/>
    </w:rPr>
  </w:style>
  <w:style w:type="paragraph" w:customStyle="1" w:styleId="BodySmallRight">
    <w:name w:val="Body Small Right"/>
    <w:basedOn w:val="BodyTextRight"/>
    <w:rsid w:val="002F0BAF"/>
    <w:rPr>
      <w:sz w:val="18"/>
      <w:szCs w:val="18"/>
    </w:rPr>
  </w:style>
  <w:style w:type="paragraph" w:customStyle="1" w:styleId="MarginEdition">
    <w:name w:val="Margin Edition"/>
    <w:basedOn w:val="MarginNote"/>
    <w:rsid w:val="002F0BAF"/>
    <w:pPr>
      <w:spacing w:before="0" w:after="0"/>
    </w:pPr>
    <w:rPr>
      <w:rFonts w:ascii="Times New Roman" w:hAnsi="Times New Roman"/>
      <w:color w:val="999999"/>
    </w:rPr>
  </w:style>
  <w:style w:type="paragraph" w:customStyle="1" w:styleId="Spacer">
    <w:name w:val="Spacer"/>
    <w:basedOn w:val="Normal"/>
    <w:rsid w:val="002F0BAF"/>
    <w:rPr>
      <w:sz w:val="2"/>
      <w:szCs w:val="2"/>
    </w:rPr>
  </w:style>
  <w:style w:type="character" w:customStyle="1" w:styleId="Small">
    <w:name w:val="Small"/>
    <w:basedOn w:val="DefaultParagraphFont"/>
    <w:rsid w:val="002F0BAF"/>
    <w:rPr>
      <w:sz w:val="16"/>
    </w:rPr>
  </w:style>
  <w:style w:type="paragraph" w:customStyle="1" w:styleId="WideTable">
    <w:name w:val="Wide Table"/>
    <w:basedOn w:val="Normal"/>
    <w:rsid w:val="002F0BAF"/>
    <w:pPr>
      <w:ind w:left="-1418"/>
    </w:pPr>
    <w:rPr>
      <w:sz w:val="2"/>
      <w:szCs w:val="2"/>
    </w:rPr>
  </w:style>
  <w:style w:type="character" w:styleId="PageNumber">
    <w:name w:val="page number"/>
    <w:basedOn w:val="DefaultParagraphFont"/>
    <w:rsid w:val="002F0BAF"/>
  </w:style>
  <w:style w:type="paragraph" w:styleId="Quote">
    <w:name w:val="Quote"/>
    <w:basedOn w:val="Heading1"/>
    <w:link w:val="QuoteChar"/>
    <w:qFormat/>
    <w:rsid w:val="002F0BAF"/>
    <w:rPr>
      <w:b w:val="0"/>
      <w:sz w:val="72"/>
      <w:szCs w:val="72"/>
      <w:lang w:val="en-NZ"/>
    </w:rPr>
  </w:style>
  <w:style w:type="character" w:customStyle="1" w:styleId="QuoteChar">
    <w:name w:val="Quote Char"/>
    <w:basedOn w:val="DefaultParagraphFont"/>
    <w:link w:val="Quote"/>
    <w:rsid w:val="002F0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BAF"/>
    <w:pPr>
      <w:pageBreakBefore/>
    </w:pPr>
  </w:style>
  <w:style w:type="paragraph" w:customStyle="1" w:styleId="Border">
    <w:name w:val="Border"/>
    <w:basedOn w:val="Normal"/>
    <w:qFormat/>
    <w:rsid w:val="002F0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BAF"/>
    <w:rPr>
      <w:b/>
      <w:bCs/>
      <w:i/>
      <w:iCs/>
      <w:color w:val="auto"/>
    </w:rPr>
  </w:style>
  <w:style w:type="paragraph" w:styleId="IntenseQuote">
    <w:name w:val="Intense Quote"/>
    <w:basedOn w:val="Normal"/>
    <w:next w:val="Normal"/>
    <w:link w:val="IntenseQuoteChar"/>
    <w:uiPriority w:val="30"/>
    <w:qFormat/>
    <w:rsid w:val="002F0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BAF"/>
    <w:rPr>
      <w:smallCaps/>
      <w:color w:val="auto"/>
      <w:u w:val="single"/>
    </w:rPr>
  </w:style>
  <w:style w:type="character" w:styleId="IntenseReference">
    <w:name w:val="Intense Reference"/>
    <w:basedOn w:val="DefaultParagraphFont"/>
    <w:uiPriority w:val="32"/>
    <w:qFormat/>
    <w:rsid w:val="002F0BAF"/>
    <w:rPr>
      <w:b/>
      <w:bCs/>
      <w:smallCaps/>
      <w:color w:val="auto"/>
      <w:spacing w:val="5"/>
      <w:u w:val="single"/>
    </w:rPr>
  </w:style>
  <w:style w:type="paragraph" w:customStyle="1" w:styleId="2ColumnHeading">
    <w:name w:val="2Column Heading"/>
    <w:basedOn w:val="BodyText"/>
    <w:qFormat/>
    <w:rsid w:val="002F0BAF"/>
    <w:pPr>
      <w:spacing w:after="60"/>
      <w:ind w:left="-2268"/>
    </w:pPr>
    <w:rPr>
      <w:b/>
    </w:rPr>
  </w:style>
  <w:style w:type="paragraph" w:customStyle="1" w:styleId="Heading1TOC">
    <w:name w:val="Heading1 TOC"/>
    <w:basedOn w:val="Normal"/>
    <w:qFormat/>
    <w:rsid w:val="002F0BAF"/>
    <w:pPr>
      <w:spacing w:before="240" w:after="120"/>
    </w:pPr>
    <w:rPr>
      <w:rFonts w:ascii="Times New Roman" w:hAnsi="Times New Roman"/>
      <w:b/>
      <w:sz w:val="32"/>
    </w:rPr>
  </w:style>
  <w:style w:type="paragraph" w:customStyle="1" w:styleId="Heading2TOC">
    <w:name w:val="Heading2 TOC"/>
    <w:basedOn w:val="Normal"/>
    <w:qFormat/>
    <w:rsid w:val="002F0BAF"/>
    <w:pPr>
      <w:spacing w:before="240" w:after="60"/>
    </w:pPr>
    <w:rPr>
      <w:rFonts w:ascii="Times New Roman" w:hAnsi="Times New Roman"/>
      <w:b/>
      <w:sz w:val="28"/>
    </w:rPr>
  </w:style>
  <w:style w:type="character" w:customStyle="1" w:styleId="Underline">
    <w:name w:val="Underline"/>
    <w:basedOn w:val="DefaultParagraphFont"/>
    <w:qFormat/>
    <w:rsid w:val="002F0BAF"/>
    <w:rPr>
      <w:u w:val="single"/>
    </w:rPr>
  </w:style>
  <w:style w:type="character" w:customStyle="1" w:styleId="BoldandItalics">
    <w:name w:val="Bold and Italics"/>
    <w:qFormat/>
    <w:rsid w:val="002F0BAF"/>
    <w:rPr>
      <w:b/>
      <w:i/>
      <w:u w:val="none"/>
    </w:rPr>
  </w:style>
  <w:style w:type="paragraph" w:styleId="BalloonText">
    <w:name w:val="Balloon Text"/>
    <w:basedOn w:val="Normal"/>
    <w:link w:val="BalloonTextChar"/>
    <w:rsid w:val="002F0BAF"/>
    <w:rPr>
      <w:rFonts w:ascii="Tahoma" w:hAnsi="Tahoma" w:cs="Tahoma"/>
      <w:sz w:val="16"/>
      <w:szCs w:val="16"/>
    </w:rPr>
  </w:style>
  <w:style w:type="character" w:customStyle="1" w:styleId="BalloonTextChar">
    <w:name w:val="Balloon Text Char"/>
    <w:basedOn w:val="DefaultParagraphFont"/>
    <w:link w:val="BalloonText"/>
    <w:rsid w:val="002F0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B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BAF"/>
    <w:rPr>
      <w:b/>
      <w:color w:val="660033"/>
      <w:spacing w:val="0"/>
    </w:rPr>
  </w:style>
  <w:style w:type="paragraph" w:customStyle="1" w:styleId="Nameditemlist">
    <w:name w:val="Named item list"/>
    <w:basedOn w:val="BodyText"/>
    <w:qFormat/>
    <w:rsid w:val="002F0BAF"/>
    <w:pPr>
      <w:tabs>
        <w:tab w:val="left" w:pos="2835"/>
      </w:tabs>
      <w:ind w:left="2835" w:hanging="2835"/>
    </w:pPr>
  </w:style>
  <w:style w:type="paragraph" w:customStyle="1" w:styleId="BodyTextnopadding">
    <w:name w:val="Body Text no padding"/>
    <w:basedOn w:val="BodyText"/>
    <w:qFormat/>
    <w:rsid w:val="002F0BAF"/>
    <w:pPr>
      <w:spacing w:before="0" w:after="0"/>
    </w:pPr>
  </w:style>
  <w:style w:type="paragraph" w:customStyle="1" w:styleId="BodyTextBold">
    <w:name w:val="Body Text Bold"/>
    <w:basedOn w:val="BodyText"/>
    <w:qFormat/>
    <w:rsid w:val="002F0BAF"/>
    <w:rPr>
      <w:b/>
    </w:rPr>
  </w:style>
  <w:style w:type="character" w:styleId="Hyperlink">
    <w:name w:val="Hyperlink"/>
    <w:basedOn w:val="DefaultParagraphFont"/>
    <w:uiPriority w:val="99"/>
    <w:unhideWhenUsed/>
    <w:rsid w:val="006D0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9237</Characters>
  <Application>Microsoft Office Word</Application>
  <DocSecurity>0</DocSecurity>
  <Lines>236</Lines>
  <Paragraphs>174</Paragraphs>
  <ScaleCrop>false</ScaleCrop>
  <Company>Author-it Software Corporation Ltd.</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SIRCIND002 Support the supply of Pharmacy Medicines and Pharmacist Only Medicines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