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07B" w:rsidP="009220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SIRCIND001 Work effectively in a community pharmacy</w:t>
      </w:r>
      <w:r>
        <w:fldChar w:fldCharType="end"/>
      </w:r>
    </w:p>
    <w:p w:rsidR="0092207B" w:rsidP="0092207B">
      <w:pPr>
        <w:pStyle w:val="Version"/>
        <w:sectPr w:rsidSect="003E0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1C6" w:rsidP="003E01C6">
      <w:pPr>
        <w:pStyle w:val="SuperHeading"/>
      </w:pPr>
      <w:r w:rsidRPr="003E01C6">
        <w:t>Assessment Requirements for SIRCIND001 Work effectively in a community pharmacy</w:t>
      </w:r>
    </w:p>
    <w:p w:rsidR="00000000" w:rsidRPr="003E01C6" w:rsidP="003E01C6">
      <w:pPr>
        <w:pStyle w:val="Heading1"/>
      </w:pPr>
      <w:bookmarkStart w:id="1" w:name="O_793772"/>
      <w:bookmarkEnd w:id="1"/>
      <w:r w:rsidRPr="003E01C6">
        <w:t>Modification History</w:t>
      </w:r>
    </w:p>
    <w:p w:rsidR="00000000" w:rsidRPr="003E01C6" w:rsidP="0092207B">
      <w:pPr>
        <w:pStyle w:val="BodyText"/>
      </w:pPr>
      <w:r w:rsidRPr="003E01C6">
        <w:t>Not applicable.</w:t>
      </w:r>
    </w:p>
    <w:p w:rsidR="00000000" w:rsidRPr="003E01C6" w:rsidP="003E01C6">
      <w:pPr>
        <w:pStyle w:val="Heading1"/>
      </w:pPr>
      <w:bookmarkStart w:id="2" w:name="O_793773"/>
      <w:bookmarkEnd w:id="2"/>
      <w:r w:rsidRPr="003E01C6">
        <w:t>Performance Evidence</w:t>
      </w:r>
    </w:p>
    <w:p w:rsidR="00000000" w:rsidRPr="003E01C6" w:rsidP="0092207B">
      <w:pPr>
        <w:pStyle w:val="BodyText"/>
      </w:pPr>
      <w:r w:rsidRPr="003E01C6">
        <w:t>Evidence of the ability to</w:t>
      </w:r>
      <w:r w:rsidRPr="003E01C6">
        <w:t xml:space="preserve"> complete tasks outlined in elements and performance criteria of this unit in the context of the job role, and:</w:t>
      </w:r>
    </w:p>
    <w:p w:rsidR="00000000" w:rsidRPr="003E01C6" w:rsidP="003E01C6">
      <w:pPr>
        <w:pStyle w:val="ListBullet"/>
      </w:pPr>
      <w:r w:rsidRPr="003E01C6">
        <w:t>access, interpret and use information about employment rights and responsibilities and organisational procedures in community pharmacy from thr</w:t>
      </w:r>
      <w:r w:rsidRPr="003E01C6">
        <w:t>ee different sources</w:t>
      </w:r>
    </w:p>
    <w:p w:rsidR="00000000" w:rsidRPr="003E01C6" w:rsidP="003E01C6">
      <w:pPr>
        <w:pStyle w:val="ListBullet"/>
      </w:pPr>
      <w:r w:rsidRPr="003E01C6">
        <w:t>use effective planning, organisational and communication skills to address five community pharmacy daily work activities that individually or cumulatively involve situations where:</w:t>
      </w:r>
    </w:p>
    <w:p w:rsidR="00000000" w:rsidRPr="003E01C6" w:rsidP="003E01C6">
      <w:pPr>
        <w:pStyle w:val="ListBullet2"/>
      </w:pPr>
      <w:r w:rsidRPr="003E01C6">
        <w:t>customers require dispensing services</w:t>
      </w:r>
    </w:p>
    <w:p w:rsidR="00000000" w:rsidRPr="003E01C6" w:rsidP="003E01C6">
      <w:pPr>
        <w:pStyle w:val="ListBullet2"/>
      </w:pPr>
      <w:r w:rsidRPr="003E01C6">
        <w:t>customers requi</w:t>
      </w:r>
      <w:r w:rsidRPr="003E01C6">
        <w:t>re referral to pharmacist or more senior pharmacy colleagues.</w:t>
      </w:r>
    </w:p>
    <w:p w:rsidR="00000000" w:rsidRPr="003E01C6" w:rsidP="003E01C6">
      <w:pPr>
        <w:pStyle w:val="AllowPageBreak"/>
      </w:pPr>
    </w:p>
    <w:p w:rsidR="00000000" w:rsidRPr="003E01C6" w:rsidP="003E01C6">
      <w:pPr>
        <w:pStyle w:val="Heading1"/>
      </w:pPr>
      <w:bookmarkStart w:id="3" w:name="O_793774"/>
      <w:bookmarkEnd w:id="3"/>
      <w:r w:rsidRPr="003E01C6">
        <w:t>Knowledge Evidence</w:t>
      </w:r>
    </w:p>
    <w:p w:rsidR="00000000" w:rsidRPr="003E01C6" w:rsidP="0092207B">
      <w:pPr>
        <w:pStyle w:val="BodyText"/>
      </w:pPr>
      <w:r w:rsidRPr="003E01C6">
        <w:t>Demonstrated knowledge required to complete the tasks outlined in elements and performance criteria of this unit:</w:t>
      </w:r>
    </w:p>
    <w:p w:rsidR="00000000" w:rsidRPr="003E01C6" w:rsidP="003E01C6">
      <w:pPr>
        <w:pStyle w:val="ListBullet"/>
      </w:pPr>
      <w:r w:rsidRPr="003E01C6">
        <w:t>sources of information on employment rights</w:t>
      </w:r>
      <w:r w:rsidRPr="003E01C6">
        <w:t xml:space="preserve"> and responsibilities:</w:t>
      </w:r>
    </w:p>
    <w:p w:rsidR="00000000" w:rsidRPr="003E01C6" w:rsidP="003E01C6">
      <w:pPr>
        <w:pStyle w:val="ListBullet2"/>
      </w:pPr>
      <w:r w:rsidRPr="003E01C6">
        <w:t>employer associations</w:t>
      </w:r>
    </w:p>
    <w:p w:rsidR="00000000" w:rsidRPr="003E01C6" w:rsidP="003E01C6">
      <w:pPr>
        <w:pStyle w:val="ListBullet2"/>
      </w:pPr>
      <w:r w:rsidRPr="003E01C6">
        <w:t>Fair Work Commission</w:t>
      </w:r>
    </w:p>
    <w:p w:rsidR="00000000" w:rsidRPr="003E01C6" w:rsidP="003E01C6">
      <w:pPr>
        <w:pStyle w:val="ListBullet2"/>
      </w:pPr>
      <w:r w:rsidRPr="003E01C6">
        <w:t>Fair Work Ombudsman</w:t>
      </w:r>
    </w:p>
    <w:p w:rsidR="00000000" w:rsidRPr="003E01C6" w:rsidP="003E01C6">
      <w:pPr>
        <w:pStyle w:val="ListBullet2"/>
      </w:pPr>
      <w:r w:rsidRPr="003E01C6">
        <w:t>state and territory government boards and commissions for anti-discrimination and equal employment opportunity</w:t>
      </w:r>
    </w:p>
    <w:p w:rsidR="00000000" w:rsidRPr="003E01C6" w:rsidP="003E01C6">
      <w:pPr>
        <w:pStyle w:val="ListBullet2"/>
      </w:pPr>
      <w:r w:rsidRPr="003E01C6">
        <w:t>staff handbooks</w:t>
      </w:r>
    </w:p>
    <w:p w:rsidR="00000000" w:rsidRPr="003E01C6" w:rsidP="003E01C6">
      <w:pPr>
        <w:pStyle w:val="ListBullet2"/>
      </w:pPr>
      <w:r w:rsidRPr="003E01C6">
        <w:t>trade unions</w:t>
      </w:r>
    </w:p>
    <w:p w:rsidR="00000000" w:rsidRPr="003E01C6" w:rsidP="003E01C6">
      <w:pPr>
        <w:pStyle w:val="ListBullet"/>
      </w:pPr>
      <w:r w:rsidRPr="003E01C6">
        <w:t>basic aspects of these employment related laws covering rights and responsibilities of employees and employers:</w:t>
      </w:r>
    </w:p>
    <w:p w:rsidR="00000000" w:rsidRPr="003E01C6" w:rsidP="003E01C6">
      <w:pPr>
        <w:pStyle w:val="ListBullet2"/>
      </w:pPr>
      <w:r w:rsidRPr="003E01C6">
        <w:t>Fair Work Act 2009; minimum workplace entitlements provided by the National Employment Standards (NES)</w:t>
      </w:r>
    </w:p>
    <w:p w:rsidR="00000000" w:rsidRPr="003E01C6" w:rsidP="003E01C6">
      <w:pPr>
        <w:pStyle w:val="ListBullet2"/>
      </w:pPr>
      <w:r w:rsidRPr="003E01C6">
        <w:t>relevant state or territory anti-discrim</w:t>
      </w:r>
      <w:r w:rsidRPr="003E01C6">
        <w:t>ination or equal employment opportunity law:</w:t>
      </w:r>
    </w:p>
    <w:p w:rsidR="00000000" w:rsidRPr="003E01C6" w:rsidP="003E01C6">
      <w:pPr>
        <w:pStyle w:val="ListBullet3"/>
      </w:pPr>
      <w:r w:rsidRPr="003E01C6">
        <w:t>harassment provisions; types of harassment, rights and responsibilities of employees and employers and consequences of non-compliance with the law</w:t>
      </w:r>
    </w:p>
    <w:p w:rsidR="00000000" w:rsidRPr="003E01C6" w:rsidP="003E01C6">
      <w:pPr>
        <w:pStyle w:val="ListBullet3"/>
      </w:pPr>
      <w:r w:rsidRPr="003E01C6">
        <w:t xml:space="preserve">equal </w:t>
      </w:r>
      <w:r w:rsidRPr="003E01C6">
        <w:t>employment opportunity (EEO) provisions; rights of employees and responsibilities of employers to make merit based employment decisions</w:t>
      </w:r>
    </w:p>
    <w:p w:rsidR="00000000" w:rsidRPr="003E01C6" w:rsidP="003E01C6">
      <w:pPr>
        <w:pStyle w:val="ListBullet3"/>
      </w:pPr>
      <w:r w:rsidRPr="003E01C6">
        <w:t>role of relevant state or territory board or commission in managing complaints</w:t>
      </w:r>
    </w:p>
    <w:p w:rsidR="00000000" w:rsidRPr="003E01C6" w:rsidP="003E01C6">
      <w:pPr>
        <w:pStyle w:val="ListBullet"/>
      </w:pPr>
      <w:r w:rsidRPr="003E01C6">
        <w:t>general role characteristics, boundaries</w:t>
      </w:r>
      <w:r w:rsidRPr="003E01C6">
        <w:t xml:space="preserve"> and responsibilities for key community pharmacy jobs, including career paths:</w:t>
      </w:r>
    </w:p>
    <w:p w:rsidR="00000000" w:rsidRPr="003E01C6" w:rsidP="003E01C6">
      <w:pPr>
        <w:pStyle w:val="ListBullet2"/>
      </w:pPr>
      <w:r w:rsidRPr="003E01C6">
        <w:t>pharmacy assistants</w:t>
      </w:r>
    </w:p>
    <w:p w:rsidR="00000000" w:rsidRPr="003E01C6" w:rsidP="003E01C6">
      <w:pPr>
        <w:pStyle w:val="ListBullet2"/>
      </w:pPr>
      <w:r w:rsidRPr="003E01C6">
        <w:t>dispensary assistants</w:t>
      </w:r>
    </w:p>
    <w:p w:rsidR="00000000" w:rsidRPr="003E01C6" w:rsidP="003E01C6">
      <w:pPr>
        <w:pStyle w:val="ListBullet2"/>
      </w:pPr>
      <w:r w:rsidRPr="003E01C6">
        <w:t>retail supervisors and managers</w:t>
      </w:r>
    </w:p>
    <w:p w:rsidR="00000000" w:rsidRPr="003E01C6" w:rsidP="003E01C6">
      <w:pPr>
        <w:pStyle w:val="ListBullet2"/>
      </w:pPr>
      <w:r w:rsidRPr="003E01C6">
        <w:t>pharmacists</w:t>
      </w:r>
    </w:p>
    <w:p w:rsidR="00000000" w:rsidRPr="003E01C6" w:rsidP="003E01C6">
      <w:pPr>
        <w:pStyle w:val="ListBullet"/>
      </w:pPr>
      <w:r w:rsidRPr="003E01C6">
        <w:t>basic aspects of industrial awards for community pharmacy employees</w:t>
      </w:r>
    </w:p>
    <w:p w:rsidR="00000000" w:rsidRPr="003E01C6" w:rsidP="003E01C6">
      <w:pPr>
        <w:pStyle w:val="ListBullet"/>
      </w:pPr>
      <w:r w:rsidRPr="003E01C6">
        <w:t>prima</w:t>
      </w:r>
      <w:r w:rsidRPr="003E01C6">
        <w:t>ry functions of trade unions for community pharmacy employees</w:t>
      </w:r>
    </w:p>
    <w:p w:rsidR="00000000" w:rsidRPr="003E01C6" w:rsidP="003E01C6">
      <w:pPr>
        <w:pStyle w:val="ListBullet"/>
      </w:pPr>
      <w:r w:rsidRPr="003E01C6">
        <w:t>organisational policies and procedures that relate to general work practices:</w:t>
      </w:r>
    </w:p>
    <w:p w:rsidR="00000000" w:rsidRPr="003E01C6" w:rsidP="003E01C6">
      <w:pPr>
        <w:pStyle w:val="ListBullet2"/>
      </w:pPr>
      <w:r w:rsidRPr="003E01C6">
        <w:t xml:space="preserve">uniform, personal presentation </w:t>
      </w:r>
    </w:p>
    <w:p w:rsidR="00000000" w:rsidRPr="003E01C6" w:rsidP="003E01C6">
      <w:pPr>
        <w:pStyle w:val="ListBullet2"/>
      </w:pPr>
      <w:r w:rsidRPr="003E01C6">
        <w:t>accepting, declining and amending rostered hours</w:t>
      </w:r>
    </w:p>
    <w:p w:rsidR="00000000" w:rsidRPr="003E01C6" w:rsidP="003E01C6">
      <w:pPr>
        <w:pStyle w:val="ListBullet2"/>
      </w:pPr>
      <w:r w:rsidRPr="003E01C6">
        <w:t>personal and carer’s leave</w:t>
      </w:r>
    </w:p>
    <w:p w:rsidR="00000000" w:rsidRPr="003E01C6" w:rsidP="003E01C6">
      <w:pPr>
        <w:pStyle w:val="ListBullet2"/>
      </w:pPr>
      <w:r w:rsidRPr="003E01C6">
        <w:t>counsel</w:t>
      </w:r>
      <w:r w:rsidRPr="003E01C6">
        <w:t>ling and discipline</w:t>
      </w:r>
    </w:p>
    <w:p w:rsidR="00000000" w:rsidRPr="003E01C6" w:rsidP="003E01C6">
      <w:pPr>
        <w:pStyle w:val="ListBullet2"/>
      </w:pPr>
      <w:r w:rsidRPr="003E01C6">
        <w:t>grievances</w:t>
      </w:r>
    </w:p>
    <w:p w:rsidR="00000000" w:rsidRPr="003E01C6" w:rsidP="003E01C6">
      <w:pPr>
        <w:pStyle w:val="ListBullet2"/>
      </w:pPr>
      <w:r w:rsidRPr="003E01C6">
        <w:t>equal employment opportunity</w:t>
      </w:r>
    </w:p>
    <w:p w:rsidR="00000000" w:rsidRPr="003E01C6" w:rsidP="003E01C6">
      <w:pPr>
        <w:pStyle w:val="ListBullet2"/>
      </w:pPr>
      <w:r w:rsidRPr="003E01C6">
        <w:t>harassment</w:t>
      </w:r>
    </w:p>
    <w:p w:rsidR="00000000" w:rsidRPr="003E01C6" w:rsidP="003E01C6">
      <w:pPr>
        <w:pStyle w:val="ListBullet2"/>
      </w:pPr>
      <w:r w:rsidRPr="003E01C6">
        <w:t>environmentally sustainable workplace practices</w:t>
      </w:r>
    </w:p>
    <w:p w:rsidR="00000000" w:rsidRPr="003E01C6" w:rsidP="003E01C6">
      <w:pPr>
        <w:pStyle w:val="ListBullet"/>
      </w:pPr>
      <w:r w:rsidRPr="003E01C6">
        <w:t>organisational policies and procedures that relate to pharmacy work practices:</w:t>
      </w:r>
    </w:p>
    <w:p w:rsidR="00000000" w:rsidRPr="003E01C6" w:rsidP="003E01C6">
      <w:pPr>
        <w:pStyle w:val="ListBullet2"/>
      </w:pPr>
      <w:r w:rsidRPr="003E01C6">
        <w:t>accepting and processing prescriptions</w:t>
      </w:r>
    </w:p>
    <w:p w:rsidR="00000000" w:rsidRPr="003E01C6" w:rsidP="003E01C6">
      <w:pPr>
        <w:pStyle w:val="ListBullet2"/>
      </w:pPr>
      <w:r w:rsidRPr="003E01C6">
        <w:t>referral to pharm</w:t>
      </w:r>
      <w:r w:rsidRPr="003E01C6">
        <w:t>acist</w:t>
      </w:r>
    </w:p>
    <w:p w:rsidR="00000000" w:rsidRPr="003E01C6" w:rsidP="003E01C6">
      <w:pPr>
        <w:pStyle w:val="ListBullet"/>
      </w:pPr>
      <w:r w:rsidRPr="003E01C6">
        <w:t>typical terms and conditions of employment for community pharmacies</w:t>
      </w:r>
    </w:p>
    <w:p w:rsidR="00000000" w:rsidRPr="003E01C6" w:rsidP="003E01C6">
      <w:pPr>
        <w:pStyle w:val="ListBullet"/>
      </w:pPr>
      <w:r w:rsidRPr="003E01C6">
        <w:t>sustainable work practices in pharmacies:</w:t>
      </w:r>
    </w:p>
    <w:p w:rsidR="00000000" w:rsidRPr="003E01C6" w:rsidP="003E01C6">
      <w:pPr>
        <w:pStyle w:val="ListBullet2"/>
      </w:pPr>
      <w:r w:rsidRPr="003E01C6">
        <w:t>waste disposal</w:t>
      </w:r>
    </w:p>
    <w:p w:rsidR="00000000" w:rsidRPr="003E01C6" w:rsidP="003E01C6">
      <w:pPr>
        <w:pStyle w:val="ListBullet2"/>
      </w:pPr>
      <w:r w:rsidRPr="003E01C6">
        <w:t>practices for reducing water and energy use in pharmacies.</w:t>
      </w:r>
    </w:p>
    <w:p w:rsidR="00000000" w:rsidRPr="003E01C6" w:rsidP="003E01C6">
      <w:pPr>
        <w:pStyle w:val="AllowPageBreak"/>
      </w:pPr>
    </w:p>
    <w:p w:rsidR="00000000" w:rsidRPr="003E01C6" w:rsidP="003E01C6">
      <w:pPr>
        <w:pStyle w:val="Heading1"/>
      </w:pPr>
      <w:bookmarkStart w:id="4" w:name="O_793775"/>
      <w:bookmarkEnd w:id="4"/>
      <w:r w:rsidRPr="003E01C6">
        <w:t>Assessment Conditions</w:t>
      </w:r>
    </w:p>
    <w:p w:rsidR="00000000" w:rsidRPr="003E01C6" w:rsidP="0092207B">
      <w:pPr>
        <w:pStyle w:val="BodyText"/>
      </w:pPr>
      <w:r w:rsidRPr="003E01C6">
        <w:t>Skills m</w:t>
      </w:r>
      <w:r w:rsidRPr="003E01C6">
        <w:t>ust be demonstrated in a pharmacy with designated front of pharmacy and dispensary areas. This can be:</w:t>
      </w:r>
    </w:p>
    <w:p w:rsidR="00000000" w:rsidRPr="003E01C6" w:rsidP="003E01C6">
      <w:pPr>
        <w:pStyle w:val="ListBullet"/>
      </w:pPr>
      <w:r w:rsidRPr="003E01C6">
        <w:t>an industry workplace</w:t>
      </w:r>
    </w:p>
    <w:p w:rsidR="00000000" w:rsidRPr="003E01C6" w:rsidP="003E01C6">
      <w:pPr>
        <w:pStyle w:val="ListBullet"/>
      </w:pPr>
      <w:r w:rsidRPr="003E01C6">
        <w:t>a simulated industry environment.</w:t>
      </w:r>
    </w:p>
    <w:p w:rsidR="00000000" w:rsidRPr="003E01C6" w:rsidP="003E01C6">
      <w:pPr>
        <w:pStyle w:val="BodyText"/>
      </w:pPr>
    </w:p>
    <w:p w:rsidR="00000000" w:rsidRPr="003E01C6" w:rsidP="0092207B">
      <w:pPr>
        <w:pStyle w:val="BodyText"/>
      </w:pPr>
      <w:r w:rsidRPr="003E01C6">
        <w:t>Assessment must ensure use of:</w:t>
      </w:r>
    </w:p>
    <w:p w:rsidR="00000000" w:rsidRPr="003E01C6" w:rsidP="003E01C6">
      <w:pPr>
        <w:pStyle w:val="ListBullet"/>
      </w:pPr>
      <w:r w:rsidRPr="003E01C6">
        <w:t>information technology hardware and software</w:t>
      </w:r>
    </w:p>
    <w:p w:rsidR="00000000" w:rsidRPr="003E01C6" w:rsidP="003E01C6">
      <w:pPr>
        <w:pStyle w:val="ListBullet"/>
      </w:pPr>
      <w:r w:rsidRPr="003E01C6">
        <w:t>online information</w:t>
      </w:r>
      <w:r w:rsidRPr="003E01C6">
        <w:t xml:space="preserve"> systems</w:t>
      </w:r>
    </w:p>
    <w:p w:rsidR="00000000" w:rsidRPr="003E01C6" w:rsidP="003E01C6">
      <w:pPr>
        <w:pStyle w:val="ListBullet"/>
      </w:pPr>
      <w:r w:rsidRPr="003E01C6">
        <w:t>current plain English guidelines issued by regulatory bodies covering National Employment Standards (NES), anti-discrimination or equal employment opportunity law</w:t>
      </w:r>
    </w:p>
    <w:p w:rsidR="00000000" w:rsidRPr="003E01C6" w:rsidP="003E01C6">
      <w:pPr>
        <w:pStyle w:val="ListBullet"/>
      </w:pPr>
      <w:r w:rsidRPr="003E01C6">
        <w:t>plain English information about industrial awards for community pharmacy employees i</w:t>
      </w:r>
      <w:r w:rsidRPr="003E01C6">
        <w:t>ssued by regulatory bodies or unions</w:t>
      </w:r>
    </w:p>
    <w:p w:rsidR="00000000" w:rsidRPr="003E01C6" w:rsidP="003E01C6">
      <w:pPr>
        <w:pStyle w:val="ListBullet"/>
      </w:pPr>
      <w:r w:rsidRPr="003E01C6">
        <w:t>organisational policies and procedures for general work and pharmacy practices.</w:t>
      </w:r>
    </w:p>
    <w:p w:rsidR="00000000" w:rsidRPr="003E01C6" w:rsidP="003E01C6">
      <w:pPr>
        <w:pStyle w:val="BodyText"/>
      </w:pPr>
    </w:p>
    <w:p w:rsidR="00000000" w:rsidRPr="003E01C6" w:rsidP="0092207B">
      <w:pPr>
        <w:pStyle w:val="BodyText"/>
      </w:pPr>
      <w:r w:rsidRPr="003E01C6">
        <w:t>Assessors must satisfy the Standards for Registered Training Organisation’s requirements for assessors, and:</w:t>
      </w:r>
    </w:p>
    <w:p w:rsidR="00000000" w:rsidRPr="003E01C6" w:rsidP="003E01C6">
      <w:pPr>
        <w:pStyle w:val="ListBullet"/>
      </w:pPr>
      <w:r w:rsidRPr="003E01C6">
        <w:t>have worked in the pharmacy</w:t>
      </w:r>
      <w:r w:rsidRPr="003E01C6">
        <w:t xml:space="preserve"> sector for at least two years.</w:t>
      </w:r>
    </w:p>
    <w:p w:rsidR="00000000" w:rsidRPr="003E01C6" w:rsidP="003E01C6">
      <w:pPr>
        <w:pStyle w:val="AllowPageBreak"/>
      </w:pPr>
    </w:p>
    <w:p w:rsidR="00000000" w:rsidRPr="003E01C6" w:rsidP="003E01C6">
      <w:pPr>
        <w:pStyle w:val="Heading1"/>
      </w:pPr>
      <w:bookmarkStart w:id="5" w:name="O_793778"/>
      <w:bookmarkEnd w:id="5"/>
      <w:r w:rsidRPr="003E01C6">
        <w:t>Links</w:t>
      </w:r>
    </w:p>
    <w:p w:rsidR="00000000" w:rsidRPr="003E01C6" w:rsidP="0092207B">
      <w:pPr>
        <w:pStyle w:val="BodyText"/>
      </w:pPr>
      <w:r w:rsidRPr="003E01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752D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E01C6" w:rsidP="003E01C6"/>
    <w:sectPr w:rsidSect="003E01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C6" w:rsidRPr="0092207B" w:rsidP="009220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07B" w:rsidP="003E0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207B" w:rsidP="003E0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2207B" w:rsidP="003E0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0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1C6" w:rsidRPr="0092207B" w:rsidP="009220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07B" w:rsidRPr="002D2AF8" w:rsidP="003E0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SIRCIND001 Work effectively in a community pharmacy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92207B" w:rsidP="003E0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9A0C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A6B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8CA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1C6"/>
  </w:style>
  <w:style w:type="character" w:customStyle="1" w:styleId="Heading1Char">
    <w:name w:val="Heading 1 Char"/>
    <w:basedOn w:val="DefaultParagraphFont"/>
    <w:link w:val="Heading1"/>
    <w:rsid w:val="003E0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1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01C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01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0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E01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E0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1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1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01C6"/>
    <w:rPr>
      <w:b/>
      <w:spacing w:val="0"/>
    </w:rPr>
  </w:style>
  <w:style w:type="paragraph" w:customStyle="1" w:styleId="SuperTitle">
    <w:name w:val="SuperTitle"/>
    <w:basedOn w:val="Title"/>
    <w:rsid w:val="003E0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0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1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01C6"/>
    <w:rPr>
      <w:i/>
    </w:rPr>
  </w:style>
  <w:style w:type="paragraph" w:styleId="Caption">
    <w:name w:val="caption"/>
    <w:basedOn w:val="BodyText"/>
    <w:next w:val="Normal"/>
    <w:qFormat/>
    <w:rsid w:val="003E0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1C6"/>
  </w:style>
  <w:style w:type="paragraph" w:styleId="TableofFigures">
    <w:name w:val="table of figures"/>
    <w:basedOn w:val="Normal"/>
    <w:next w:val="Normal"/>
    <w:semiHidden/>
    <w:rsid w:val="003E0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1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E01C6"/>
    <w:rPr>
      <w:rFonts w:ascii="Wingdings" w:hAnsi="Wingdings"/>
    </w:rPr>
  </w:style>
  <w:style w:type="paragraph" w:customStyle="1" w:styleId="TableHeading">
    <w:name w:val="Table Heading"/>
    <w:basedOn w:val="HeadingBase"/>
    <w:rsid w:val="003E01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1C6"/>
    <w:rPr>
      <w:color w:val="0033CC"/>
      <w:u w:val="none"/>
    </w:rPr>
  </w:style>
  <w:style w:type="paragraph" w:customStyle="1" w:styleId="BodyTextRight">
    <w:name w:val="Body Text Right"/>
    <w:basedOn w:val="BodyText"/>
    <w:rsid w:val="003E0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1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1C6"/>
    <w:rPr>
      <w:sz w:val="32"/>
    </w:rPr>
  </w:style>
  <w:style w:type="paragraph" w:customStyle="1" w:styleId="HeadingProcedure">
    <w:name w:val="Heading Procedure"/>
    <w:basedOn w:val="HeadingBase"/>
    <w:next w:val="Normal"/>
    <w:rsid w:val="003E0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1C6"/>
    <w:pPr>
      <w:spacing w:before="60" w:after="60"/>
    </w:pPr>
  </w:style>
  <w:style w:type="paragraph" w:styleId="ListContinue">
    <w:name w:val="List Continue"/>
    <w:basedOn w:val="List"/>
    <w:rsid w:val="003E01C6"/>
    <w:pPr>
      <w:ind w:firstLine="0"/>
    </w:pPr>
  </w:style>
  <w:style w:type="paragraph" w:customStyle="1" w:styleId="ListNote">
    <w:name w:val="List Note"/>
    <w:basedOn w:val="List"/>
    <w:rsid w:val="003E0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1C6"/>
    <w:rPr>
      <w:rFonts w:ascii="Courier New" w:hAnsi="Courier New"/>
    </w:rPr>
  </w:style>
  <w:style w:type="paragraph" w:customStyle="1" w:styleId="NoteBullet">
    <w:name w:val="Note Bullet"/>
    <w:basedOn w:val="Note"/>
    <w:rsid w:val="003E0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1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0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1C6"/>
    <w:rPr>
      <w:b/>
      <w:smallCaps/>
    </w:rPr>
  </w:style>
  <w:style w:type="paragraph" w:customStyle="1" w:styleId="TableListNumber">
    <w:name w:val="Table List Number"/>
    <w:basedOn w:val="ListNumber"/>
    <w:rsid w:val="003E0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1C6"/>
    <w:pPr>
      <w:numPr>
        <w:numId w:val="10"/>
      </w:numPr>
    </w:pPr>
  </w:style>
  <w:style w:type="paragraph" w:customStyle="1" w:styleId="ListAlpha2">
    <w:name w:val="List Alpha 2"/>
    <w:basedOn w:val="List2"/>
    <w:rsid w:val="003E01C6"/>
    <w:pPr>
      <w:numPr>
        <w:numId w:val="9"/>
      </w:numPr>
    </w:pPr>
  </w:style>
  <w:style w:type="paragraph" w:styleId="List2">
    <w:name w:val="List 2"/>
    <w:basedOn w:val="BodyText"/>
    <w:rsid w:val="003E0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1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E01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E01C6"/>
    <w:pPr>
      <w:numPr>
        <w:numId w:val="5"/>
      </w:numPr>
    </w:pPr>
  </w:style>
  <w:style w:type="paragraph" w:styleId="ListContinue2">
    <w:name w:val="List Continue 2"/>
    <w:basedOn w:val="List2"/>
    <w:rsid w:val="003E01C6"/>
    <w:pPr>
      <w:ind w:firstLine="0"/>
    </w:pPr>
  </w:style>
  <w:style w:type="paragraph" w:styleId="ListContinue3">
    <w:name w:val="List Continue 3"/>
    <w:basedOn w:val="List3"/>
    <w:rsid w:val="003E01C6"/>
    <w:pPr>
      <w:ind w:left="1021" w:firstLine="0"/>
    </w:pPr>
  </w:style>
  <w:style w:type="paragraph" w:styleId="ListContinue4">
    <w:name w:val="List Continue 4"/>
    <w:basedOn w:val="List4"/>
    <w:rsid w:val="003E01C6"/>
    <w:pPr>
      <w:ind w:firstLine="0"/>
    </w:pPr>
  </w:style>
  <w:style w:type="paragraph" w:styleId="ListContinue5">
    <w:name w:val="List Continue 5"/>
    <w:basedOn w:val="List5"/>
    <w:rsid w:val="003E01C6"/>
    <w:pPr>
      <w:ind w:firstLine="0"/>
    </w:pPr>
  </w:style>
  <w:style w:type="paragraph" w:styleId="ListNumber3">
    <w:name w:val="List Number 3"/>
    <w:basedOn w:val="List3"/>
    <w:rsid w:val="003E01C6"/>
    <w:pPr>
      <w:numPr>
        <w:numId w:val="6"/>
      </w:numPr>
    </w:pPr>
  </w:style>
  <w:style w:type="paragraph" w:styleId="ListNumber4">
    <w:name w:val="List Number 4"/>
    <w:basedOn w:val="List4"/>
    <w:rsid w:val="003E01C6"/>
    <w:pPr>
      <w:numPr>
        <w:numId w:val="7"/>
      </w:numPr>
    </w:pPr>
  </w:style>
  <w:style w:type="paragraph" w:styleId="ListNumber5">
    <w:name w:val="List Number 5"/>
    <w:basedOn w:val="List5"/>
    <w:rsid w:val="003E01C6"/>
    <w:pPr>
      <w:numPr>
        <w:numId w:val="8"/>
      </w:numPr>
    </w:pPr>
  </w:style>
  <w:style w:type="paragraph" w:styleId="BlockText">
    <w:name w:val="Block Text"/>
    <w:basedOn w:val="Normal"/>
    <w:rsid w:val="003E0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1C6"/>
    <w:rPr>
      <w:sz w:val="16"/>
      <w:vertAlign w:val="superscript"/>
    </w:rPr>
  </w:style>
  <w:style w:type="character" w:customStyle="1" w:styleId="Symbols">
    <w:name w:val="Symbols"/>
    <w:basedOn w:val="DefaultParagraphFont"/>
    <w:rsid w:val="003E01C6"/>
    <w:rPr>
      <w:rFonts w:ascii="Symbol" w:hAnsi="Symbol"/>
    </w:rPr>
  </w:style>
  <w:style w:type="character" w:customStyle="1" w:styleId="MenuOptions">
    <w:name w:val="Menu Options"/>
    <w:basedOn w:val="DefaultParagraphFont"/>
    <w:rsid w:val="003E0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1C6"/>
    <w:rPr>
      <w:b/>
    </w:rPr>
  </w:style>
  <w:style w:type="character" w:customStyle="1" w:styleId="Underlined">
    <w:name w:val="Underlined"/>
    <w:basedOn w:val="DefaultParagraphFont"/>
    <w:rsid w:val="003E01C6"/>
    <w:rPr>
      <w:u w:val="single"/>
    </w:rPr>
  </w:style>
  <w:style w:type="paragraph" w:customStyle="1" w:styleId="TableBodyTextRight">
    <w:name w:val="Table Body Text Right"/>
    <w:basedOn w:val="TableBodyText"/>
    <w:rsid w:val="003E0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1C6"/>
    <w:rPr>
      <w:sz w:val="18"/>
    </w:rPr>
  </w:style>
  <w:style w:type="paragraph" w:customStyle="1" w:styleId="BodySmallRight">
    <w:name w:val="Body Small Right"/>
    <w:basedOn w:val="BodyTextRight"/>
    <w:rsid w:val="003E01C6"/>
    <w:rPr>
      <w:sz w:val="18"/>
      <w:szCs w:val="18"/>
    </w:rPr>
  </w:style>
  <w:style w:type="paragraph" w:customStyle="1" w:styleId="MarginEdition">
    <w:name w:val="Margin Edition"/>
    <w:basedOn w:val="MarginNote"/>
    <w:rsid w:val="003E0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1C6"/>
    <w:rPr>
      <w:sz w:val="2"/>
      <w:szCs w:val="2"/>
    </w:rPr>
  </w:style>
  <w:style w:type="character" w:customStyle="1" w:styleId="Small">
    <w:name w:val="Small"/>
    <w:basedOn w:val="DefaultParagraphFont"/>
    <w:rsid w:val="003E01C6"/>
    <w:rPr>
      <w:sz w:val="16"/>
    </w:rPr>
  </w:style>
  <w:style w:type="paragraph" w:customStyle="1" w:styleId="WideTable">
    <w:name w:val="Wide Table"/>
    <w:basedOn w:val="Normal"/>
    <w:rsid w:val="003E0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1C6"/>
  </w:style>
  <w:style w:type="paragraph" w:styleId="Quote">
    <w:name w:val="Quote"/>
    <w:basedOn w:val="Heading1"/>
    <w:link w:val="QuoteChar"/>
    <w:qFormat/>
    <w:rsid w:val="003E0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1C6"/>
    <w:pPr>
      <w:pageBreakBefore/>
    </w:pPr>
  </w:style>
  <w:style w:type="paragraph" w:customStyle="1" w:styleId="Border">
    <w:name w:val="Border"/>
    <w:basedOn w:val="Normal"/>
    <w:qFormat/>
    <w:rsid w:val="003E0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1C6"/>
    <w:rPr>
      <w:u w:val="single"/>
    </w:rPr>
  </w:style>
  <w:style w:type="character" w:customStyle="1" w:styleId="BoldandItalics">
    <w:name w:val="Bold and Italics"/>
    <w:qFormat/>
    <w:rsid w:val="003E01C6"/>
    <w:rPr>
      <w:b/>
      <w:i/>
      <w:u w:val="none"/>
    </w:rPr>
  </w:style>
  <w:style w:type="paragraph" w:styleId="BalloonText">
    <w:name w:val="Balloon Text"/>
    <w:basedOn w:val="Normal"/>
    <w:link w:val="BalloonTextChar"/>
    <w:rsid w:val="003E0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1C6"/>
    <w:pPr>
      <w:spacing w:before="0" w:after="0"/>
    </w:pPr>
  </w:style>
  <w:style w:type="paragraph" w:customStyle="1" w:styleId="BodyTextBold">
    <w:name w:val="Body Text Bold"/>
    <w:basedOn w:val="BodyText"/>
    <w:qFormat/>
    <w:rsid w:val="003E01C6"/>
    <w:rPr>
      <w:b/>
    </w:rPr>
  </w:style>
  <w:style w:type="character" w:styleId="Hyperlink">
    <w:name w:val="Hyperlink"/>
    <w:basedOn w:val="DefaultParagraphFont"/>
    <w:uiPriority w:val="99"/>
    <w:unhideWhenUsed/>
    <w:rsid w:val="00922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3525</Characters>
  <Application>Microsoft Office Word</Application>
  <DocSecurity>0</DocSecurity>
  <Lines>92</Lines>
  <Paragraphs>73</Paragraphs>
  <ScaleCrop>false</ScaleCrop>
  <Company>Author-it Software Corporation Ltd.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SIRCIND001 Work effectively in a community pharmacy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2021-11-10T06:19:00Z</dcterms:created>
  <dcterms:modified xsi:type="dcterms:W3CDTF">2021-11-10T06:19:00Z</dcterms:modified>
</cp:coreProperties>
</file>