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778" w:rsidP="00890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SIRCDIS004 Assist in preparing dose administration aids</w:t>
      </w:r>
      <w:r>
        <w:fldChar w:fldCharType="end"/>
      </w:r>
    </w:p>
    <w:p w:rsidR="00890778" w:rsidP="00890778">
      <w:pPr>
        <w:pStyle w:val="Version"/>
        <w:sectPr w:rsidSect="00300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A9A" w:rsidP="00300A9A">
      <w:pPr>
        <w:pStyle w:val="SuperHeading"/>
      </w:pPr>
      <w:r w:rsidRPr="00300A9A">
        <w:t>Assessment Requirements for SIRCDIS004 Assist in preparing dose administration aids</w:t>
      </w:r>
    </w:p>
    <w:p w:rsidR="00000000" w:rsidRPr="00300A9A" w:rsidP="00300A9A">
      <w:pPr>
        <w:pStyle w:val="Heading1"/>
      </w:pPr>
      <w:bookmarkStart w:id="1" w:name="O_793126"/>
      <w:bookmarkEnd w:id="1"/>
      <w:r w:rsidRPr="00300A9A">
        <w:t>Modification History</w:t>
      </w:r>
    </w:p>
    <w:p w:rsidR="00000000" w:rsidRPr="00300A9A" w:rsidP="00890778">
      <w:pPr>
        <w:pStyle w:val="BodyText"/>
      </w:pPr>
      <w:r w:rsidRPr="00300A9A">
        <w:t>Not applicable.</w:t>
      </w:r>
    </w:p>
    <w:p w:rsidR="00000000" w:rsidRPr="00300A9A" w:rsidP="00300A9A">
      <w:pPr>
        <w:pStyle w:val="Heading1"/>
      </w:pPr>
      <w:bookmarkStart w:id="2" w:name="O_793127"/>
      <w:bookmarkEnd w:id="2"/>
      <w:r w:rsidRPr="00300A9A">
        <w:t>Performance Evidence</w:t>
      </w:r>
    </w:p>
    <w:p w:rsidR="00000000" w:rsidRPr="00300A9A" w:rsidP="00890778">
      <w:pPr>
        <w:pStyle w:val="BodyText"/>
      </w:pPr>
      <w:r w:rsidRPr="00300A9A">
        <w:t>Evidence of the ability to complete tasks outlined in elements and performance criteria of this unit in the context of the job role, and:</w:t>
      </w:r>
    </w:p>
    <w:p w:rsidR="00000000" w:rsidRPr="00300A9A" w:rsidP="00300A9A">
      <w:pPr>
        <w:pStyle w:val="ListBullet"/>
      </w:pPr>
      <w:r w:rsidRPr="00300A9A">
        <w:t>assist in preparing twelve dose administration aids (DAAs)</w:t>
      </w:r>
    </w:p>
    <w:p w:rsidR="00000000" w:rsidRPr="00300A9A" w:rsidP="00300A9A">
      <w:pPr>
        <w:pStyle w:val="ListBullet"/>
      </w:pPr>
      <w:r w:rsidRPr="00300A9A">
        <w:t xml:space="preserve">assist in preparing DAA orders for each of these customer </w:t>
      </w:r>
      <w:r w:rsidRPr="00300A9A">
        <w:t>types:</w:t>
      </w:r>
    </w:p>
    <w:p w:rsidR="00000000" w:rsidRPr="00300A9A" w:rsidP="00300A9A">
      <w:pPr>
        <w:pStyle w:val="ListBullet2"/>
      </w:pPr>
      <w:r w:rsidRPr="00300A9A">
        <w:t>new customers</w:t>
      </w:r>
    </w:p>
    <w:p w:rsidR="00000000" w:rsidRPr="00300A9A" w:rsidP="00300A9A">
      <w:pPr>
        <w:pStyle w:val="ListBullet2"/>
      </w:pPr>
      <w:r w:rsidRPr="00300A9A">
        <w:t>ongoing customers.</w:t>
      </w:r>
    </w:p>
    <w:p w:rsidR="00000000" w:rsidRPr="00300A9A" w:rsidP="00300A9A">
      <w:pPr>
        <w:pStyle w:val="AllowPageBreak"/>
      </w:pPr>
    </w:p>
    <w:p w:rsidR="00000000" w:rsidRPr="00300A9A" w:rsidP="00300A9A">
      <w:pPr>
        <w:pStyle w:val="Heading1"/>
      </w:pPr>
      <w:bookmarkStart w:id="3" w:name="O_793128"/>
      <w:bookmarkEnd w:id="3"/>
      <w:r w:rsidRPr="00300A9A">
        <w:t>Knowledge Evidence</w:t>
      </w:r>
    </w:p>
    <w:p w:rsidR="00000000" w:rsidRPr="00300A9A" w:rsidP="00890778">
      <w:pPr>
        <w:pStyle w:val="BodyText"/>
      </w:pPr>
      <w:r w:rsidRPr="00300A9A">
        <w:t>Demonstrated knowledge required to complete the tasks outlined in elements and performance criteria of this unit:</w:t>
      </w:r>
    </w:p>
    <w:p w:rsidR="00000000" w:rsidRPr="00300A9A" w:rsidP="00300A9A">
      <w:pPr>
        <w:pStyle w:val="ListBullet"/>
      </w:pPr>
      <w:r w:rsidRPr="00300A9A">
        <w:t>role boundaries and responsibilities of dispensary assistants an</w:t>
      </w:r>
      <w:r w:rsidRPr="00300A9A">
        <w:t>d pharmacists in the preparation of dose administration aids</w:t>
      </w:r>
    </w:p>
    <w:p w:rsidR="00000000" w:rsidRPr="00300A9A" w:rsidP="00300A9A">
      <w:pPr>
        <w:pStyle w:val="ListBullet"/>
      </w:pPr>
      <w:r w:rsidRPr="00300A9A">
        <w:t>circumstances which require and trigger referral to a pharmacist</w:t>
      </w:r>
    </w:p>
    <w:p w:rsidR="00000000" w:rsidRPr="00300A9A" w:rsidP="00300A9A">
      <w:pPr>
        <w:pStyle w:val="ListBullet"/>
      </w:pPr>
      <w:r w:rsidRPr="00300A9A">
        <w:t>basic aspects of the Pharmaceutical Society of Australia’s Professional Practice Standards –</w:t>
      </w:r>
      <w:r w:rsidRPr="00300A9A">
        <w:t xml:space="preserve"> provisions relevant to dose administration aids services</w:t>
      </w:r>
    </w:p>
    <w:p w:rsidR="00000000" w:rsidRPr="00300A9A" w:rsidP="00300A9A">
      <w:pPr>
        <w:pStyle w:val="ListBullet"/>
      </w:pPr>
      <w:r w:rsidRPr="00300A9A">
        <w:t>organisational procedures for preparing dose administration aids:</w:t>
      </w:r>
    </w:p>
    <w:p w:rsidR="00000000" w:rsidRPr="00300A9A" w:rsidP="00300A9A">
      <w:pPr>
        <w:pStyle w:val="ListBullet2"/>
      </w:pPr>
      <w:r w:rsidRPr="00300A9A">
        <w:t>accessing and maintaining security of the dispensary area</w:t>
      </w:r>
    </w:p>
    <w:p w:rsidR="00000000" w:rsidRPr="00300A9A" w:rsidP="00300A9A">
      <w:pPr>
        <w:pStyle w:val="ListBullet2"/>
      </w:pPr>
      <w:r w:rsidRPr="00300A9A">
        <w:t>dealing with new DAA patients</w:t>
      </w:r>
    </w:p>
    <w:p w:rsidR="00000000" w:rsidRPr="00300A9A" w:rsidP="00300A9A">
      <w:pPr>
        <w:pStyle w:val="ListBullet2"/>
      </w:pPr>
      <w:r w:rsidRPr="00300A9A">
        <w:t>requirements for pharmacist checks of DAAs</w:t>
      </w:r>
    </w:p>
    <w:p w:rsidR="00000000" w:rsidRPr="00300A9A" w:rsidP="00300A9A">
      <w:pPr>
        <w:pStyle w:val="ListBullet2"/>
      </w:pPr>
      <w:r w:rsidRPr="00300A9A">
        <w:t>patient record keeping</w:t>
      </w:r>
    </w:p>
    <w:p w:rsidR="00000000" w:rsidRPr="00300A9A" w:rsidP="00300A9A">
      <w:pPr>
        <w:pStyle w:val="ListBullet2"/>
      </w:pPr>
      <w:r w:rsidRPr="00300A9A">
        <w:t>logging of all filled and verified DAAs</w:t>
      </w:r>
    </w:p>
    <w:p w:rsidR="00000000" w:rsidRPr="00300A9A" w:rsidP="00300A9A">
      <w:pPr>
        <w:pStyle w:val="ListBullet2"/>
      </w:pPr>
      <w:r w:rsidRPr="00300A9A">
        <w:t>cleaning and maintenance of dose administration area</w:t>
      </w:r>
    </w:p>
    <w:p w:rsidR="00000000" w:rsidRPr="00300A9A" w:rsidP="00300A9A">
      <w:pPr>
        <w:pStyle w:val="ListBullet2"/>
      </w:pPr>
      <w:r w:rsidRPr="00300A9A">
        <w:t>disposal of rejected dispensary items to minimise environmental impacts and protect confidentiality of patient information</w:t>
      </w:r>
    </w:p>
    <w:p w:rsidR="00000000" w:rsidRPr="00300A9A" w:rsidP="00300A9A">
      <w:pPr>
        <w:pStyle w:val="ListBullet"/>
      </w:pPr>
      <w:r w:rsidRPr="00300A9A">
        <w:t>formats for, use</w:t>
      </w:r>
      <w:r w:rsidRPr="00300A9A">
        <w:t xml:space="preserve"> and contents of:</w:t>
      </w:r>
    </w:p>
    <w:p w:rsidR="00000000" w:rsidRPr="00300A9A" w:rsidP="00300A9A">
      <w:pPr>
        <w:pStyle w:val="ListBullet2"/>
      </w:pPr>
      <w:r w:rsidRPr="00300A9A">
        <w:t>drug charts</w:t>
      </w:r>
    </w:p>
    <w:p w:rsidR="00000000" w:rsidRPr="00300A9A" w:rsidP="00300A9A">
      <w:pPr>
        <w:pStyle w:val="ListBullet2"/>
      </w:pPr>
      <w:r w:rsidRPr="00300A9A">
        <w:t>patient medication profiles, both simple and complex</w:t>
      </w:r>
    </w:p>
    <w:p w:rsidR="00000000" w:rsidRPr="00300A9A" w:rsidP="00300A9A">
      <w:pPr>
        <w:pStyle w:val="ListBullet2"/>
      </w:pPr>
      <w:r w:rsidRPr="00300A9A">
        <w:t>service contracts</w:t>
      </w:r>
    </w:p>
    <w:p w:rsidR="00000000" w:rsidRPr="00300A9A" w:rsidP="00300A9A">
      <w:pPr>
        <w:pStyle w:val="ListBullet2"/>
      </w:pPr>
      <w:r w:rsidRPr="00300A9A">
        <w:t>DAA orders</w:t>
      </w:r>
    </w:p>
    <w:p w:rsidR="00000000" w:rsidRPr="00300A9A" w:rsidP="00300A9A">
      <w:pPr>
        <w:pStyle w:val="ListBullet"/>
      </w:pPr>
      <w:r w:rsidRPr="00300A9A">
        <w:t>features, functions and uses of different types of DAAs:</w:t>
      </w:r>
    </w:p>
    <w:p w:rsidR="00000000" w:rsidRPr="00300A9A" w:rsidP="00300A9A">
      <w:pPr>
        <w:pStyle w:val="ListBullet2"/>
      </w:pPr>
      <w:r w:rsidRPr="00300A9A">
        <w:t>re-usable dosette boxes</w:t>
      </w:r>
    </w:p>
    <w:p w:rsidR="00000000" w:rsidRPr="00300A9A" w:rsidP="00300A9A">
      <w:pPr>
        <w:pStyle w:val="ListBullet2"/>
      </w:pPr>
      <w:r w:rsidRPr="00300A9A">
        <w:t>tamper-proof, sealed DAAs</w:t>
      </w:r>
    </w:p>
    <w:p w:rsidR="00000000" w:rsidRPr="00300A9A" w:rsidP="00300A9A">
      <w:pPr>
        <w:pStyle w:val="ListBullet"/>
      </w:pPr>
      <w:r w:rsidRPr="00300A9A">
        <w:t>features of medications not suitable for packing in a DAA</w:t>
      </w:r>
    </w:p>
    <w:p w:rsidR="00000000" w:rsidRPr="00300A9A" w:rsidP="00300A9A">
      <w:pPr>
        <w:pStyle w:val="ListBullet"/>
      </w:pPr>
      <w:r w:rsidRPr="00300A9A">
        <w:t>features, functions and operating requirements of DAA equipment:</w:t>
      </w:r>
    </w:p>
    <w:p w:rsidR="00000000" w:rsidRPr="00300A9A" w:rsidP="00300A9A">
      <w:pPr>
        <w:pStyle w:val="ListBullet2"/>
      </w:pPr>
      <w:r w:rsidRPr="00300A9A">
        <w:t>heat or press sealing equipment</w:t>
      </w:r>
    </w:p>
    <w:p w:rsidR="00000000" w:rsidRPr="00300A9A" w:rsidP="00300A9A">
      <w:pPr>
        <w:pStyle w:val="ListBullet2"/>
      </w:pPr>
      <w:r w:rsidRPr="00300A9A">
        <w:t>irons</w:t>
      </w:r>
    </w:p>
    <w:p w:rsidR="00000000" w:rsidRPr="00300A9A" w:rsidP="00300A9A">
      <w:pPr>
        <w:pStyle w:val="ListBullet2"/>
      </w:pPr>
      <w:r w:rsidRPr="00300A9A">
        <w:t>pill splitters</w:t>
      </w:r>
    </w:p>
    <w:p w:rsidR="00000000" w:rsidRPr="00300A9A" w:rsidP="00300A9A">
      <w:pPr>
        <w:pStyle w:val="ListBullet"/>
      </w:pPr>
      <w:r w:rsidRPr="00300A9A">
        <w:t>formats for, use and required contents of DAA labels:</w:t>
      </w:r>
    </w:p>
    <w:p w:rsidR="00000000" w:rsidRPr="00300A9A" w:rsidP="00300A9A">
      <w:pPr>
        <w:pStyle w:val="ListBullet2"/>
      </w:pPr>
      <w:r w:rsidRPr="00300A9A">
        <w:t>pharmacy name and addre</w:t>
      </w:r>
      <w:r w:rsidRPr="00300A9A">
        <w:t>ss</w:t>
      </w:r>
    </w:p>
    <w:p w:rsidR="00000000" w:rsidRPr="00300A9A" w:rsidP="00300A9A">
      <w:pPr>
        <w:pStyle w:val="ListBullet2"/>
      </w:pPr>
      <w:r w:rsidRPr="00300A9A">
        <w:t>phone number</w:t>
      </w:r>
    </w:p>
    <w:p w:rsidR="00000000" w:rsidRPr="00300A9A" w:rsidP="00300A9A">
      <w:pPr>
        <w:pStyle w:val="ListBullet2"/>
      </w:pPr>
      <w:r w:rsidRPr="00300A9A">
        <w:t>consumer name</w:t>
      </w:r>
    </w:p>
    <w:p w:rsidR="00000000" w:rsidRPr="00300A9A" w:rsidP="00300A9A">
      <w:pPr>
        <w:pStyle w:val="ListBullet2"/>
      </w:pPr>
      <w:r w:rsidRPr="00300A9A">
        <w:t>active ingredients</w:t>
      </w:r>
    </w:p>
    <w:p w:rsidR="00000000" w:rsidRPr="00300A9A" w:rsidP="00300A9A">
      <w:pPr>
        <w:pStyle w:val="ListBullet2"/>
      </w:pPr>
      <w:r w:rsidRPr="00300A9A">
        <w:t>brand name</w:t>
      </w:r>
    </w:p>
    <w:p w:rsidR="00000000" w:rsidRPr="00300A9A" w:rsidP="00300A9A">
      <w:pPr>
        <w:pStyle w:val="ListBullet2"/>
      </w:pPr>
      <w:r w:rsidRPr="00300A9A">
        <w:t>strength</w:t>
      </w:r>
    </w:p>
    <w:p w:rsidR="00000000" w:rsidRPr="00300A9A" w:rsidP="00300A9A">
      <w:pPr>
        <w:pStyle w:val="ListBullet2"/>
      </w:pPr>
      <w:r w:rsidRPr="00300A9A">
        <w:t>directions for use</w:t>
      </w:r>
    </w:p>
    <w:p w:rsidR="00000000" w:rsidRPr="00300A9A" w:rsidP="00300A9A">
      <w:pPr>
        <w:pStyle w:val="ListBullet2"/>
      </w:pPr>
      <w:r w:rsidRPr="00300A9A">
        <w:t>cautionary and advisory information</w:t>
      </w:r>
    </w:p>
    <w:p w:rsidR="00000000" w:rsidRPr="00300A9A" w:rsidP="00300A9A">
      <w:pPr>
        <w:pStyle w:val="ListBullet2"/>
      </w:pPr>
      <w:r w:rsidRPr="00300A9A">
        <w:t>packing and expiry date</w:t>
      </w:r>
    </w:p>
    <w:p w:rsidR="00000000" w:rsidRPr="00300A9A" w:rsidP="00300A9A">
      <w:pPr>
        <w:pStyle w:val="ListBullet"/>
      </w:pPr>
      <w:r w:rsidRPr="00300A9A">
        <w:t>personal hygiene practices to avoid contamination of medicines and dose administration containers</w:t>
      </w:r>
    </w:p>
    <w:p w:rsidR="00000000" w:rsidRPr="00300A9A" w:rsidP="00300A9A">
      <w:pPr>
        <w:pStyle w:val="ListBullet"/>
      </w:pPr>
      <w:r w:rsidRPr="00300A9A">
        <w:t>environmental protection practices for disposal of waste</w:t>
      </w:r>
    </w:p>
    <w:p w:rsidR="00000000" w:rsidRPr="00300A9A" w:rsidP="00300A9A">
      <w:pPr>
        <w:pStyle w:val="ListBullet"/>
      </w:pPr>
      <w:r w:rsidRPr="00300A9A">
        <w:t>features and functions of dispensary software specifically for keeping patient DAA records.</w:t>
      </w:r>
    </w:p>
    <w:p w:rsidR="00000000" w:rsidRPr="00300A9A" w:rsidP="00300A9A">
      <w:pPr>
        <w:pStyle w:val="AllowPageBreak"/>
      </w:pPr>
    </w:p>
    <w:p w:rsidR="00000000" w:rsidRPr="00300A9A" w:rsidP="00300A9A">
      <w:pPr>
        <w:pStyle w:val="Heading1"/>
      </w:pPr>
      <w:bookmarkStart w:id="4" w:name="O_793129"/>
      <w:bookmarkEnd w:id="4"/>
      <w:r w:rsidRPr="00300A9A">
        <w:t>Assessment Conditions</w:t>
      </w:r>
    </w:p>
    <w:p w:rsidR="00000000" w:rsidRPr="00300A9A" w:rsidP="00890778">
      <w:pPr>
        <w:pStyle w:val="BodyText"/>
      </w:pPr>
      <w:r w:rsidRPr="00300A9A">
        <w:t>Skills must be demonstrated in a pharmacy with a designated operatio</w:t>
      </w:r>
      <w:r w:rsidRPr="00300A9A">
        <w:t>nal dispensary area. This must be in an industry workplace, which meets Pharmacy Board of Australia and relevant industry standards for dispensary operations.</w:t>
      </w:r>
    </w:p>
    <w:p w:rsidR="00000000" w:rsidRPr="00300A9A" w:rsidP="00890778">
      <w:pPr>
        <w:pStyle w:val="BodyText"/>
      </w:pPr>
      <w:r w:rsidRPr="00300A9A">
        <w:t>Assessment must ensure use of:</w:t>
      </w:r>
    </w:p>
    <w:p w:rsidR="00000000" w:rsidRPr="00300A9A" w:rsidP="00300A9A">
      <w:pPr>
        <w:pStyle w:val="ListBullet"/>
      </w:pPr>
      <w:r w:rsidRPr="00300A9A">
        <w:t>information technology hardware and software</w:t>
      </w:r>
    </w:p>
    <w:p w:rsidR="00000000" w:rsidRPr="00300A9A" w:rsidP="00300A9A">
      <w:pPr>
        <w:pStyle w:val="ListBullet"/>
      </w:pPr>
      <w:r w:rsidRPr="00300A9A">
        <w:t>dispensary software</w:t>
      </w:r>
      <w:r w:rsidRPr="00300A9A">
        <w:t xml:space="preserve"> currently used by the community pharmacy industry</w:t>
      </w:r>
    </w:p>
    <w:p w:rsidR="00000000" w:rsidRPr="00300A9A" w:rsidP="00300A9A">
      <w:pPr>
        <w:pStyle w:val="ListBullet"/>
      </w:pPr>
      <w:r w:rsidRPr="00300A9A">
        <w:t>pharmacy storage locations for filled customer prescriptions</w:t>
      </w:r>
    </w:p>
    <w:p w:rsidR="00000000" w:rsidRPr="00300A9A" w:rsidP="00300A9A">
      <w:pPr>
        <w:pStyle w:val="ListBullet"/>
      </w:pPr>
      <w:r w:rsidRPr="00300A9A">
        <w:t>pharmacy storage locations, shelf facings and signage for unscheduled medicines, Pharmacy Medicines (S2), and Pharmacist Only Medicines (S3)</w:t>
      </w:r>
    </w:p>
    <w:p w:rsidR="00000000" w:rsidRPr="00300A9A" w:rsidP="00300A9A">
      <w:pPr>
        <w:pStyle w:val="ListBullet"/>
      </w:pPr>
      <w:r w:rsidRPr="00300A9A">
        <w:t>different types of DAAs:</w:t>
      </w:r>
    </w:p>
    <w:p w:rsidR="00000000" w:rsidRPr="00300A9A" w:rsidP="00300A9A">
      <w:pPr>
        <w:pStyle w:val="ListBullet2"/>
      </w:pPr>
      <w:r w:rsidRPr="00300A9A">
        <w:t>re-usable dosette boxes</w:t>
      </w:r>
    </w:p>
    <w:p w:rsidR="00000000" w:rsidRPr="00300A9A" w:rsidP="00300A9A">
      <w:pPr>
        <w:pStyle w:val="ListBullet2"/>
      </w:pPr>
      <w:r w:rsidRPr="00300A9A">
        <w:t>tamper-proof, sealed DAAs</w:t>
      </w:r>
    </w:p>
    <w:p w:rsidR="00000000" w:rsidRPr="00300A9A" w:rsidP="00300A9A">
      <w:pPr>
        <w:pStyle w:val="ListBullet"/>
      </w:pPr>
      <w:r w:rsidRPr="00300A9A">
        <w:t>DAA equipment</w:t>
      </w:r>
    </w:p>
    <w:p w:rsidR="00000000" w:rsidRPr="00300A9A" w:rsidP="00300A9A">
      <w:pPr>
        <w:pStyle w:val="ListBullet"/>
      </w:pPr>
      <w:r w:rsidRPr="00300A9A">
        <w:t>a diverse commercial product range of solid pharmacy medicines; tablets and capsules</w:t>
      </w:r>
    </w:p>
    <w:p w:rsidR="00000000" w:rsidRPr="00300A9A" w:rsidP="00300A9A">
      <w:pPr>
        <w:pStyle w:val="ListBullet"/>
      </w:pPr>
      <w:r w:rsidRPr="00300A9A">
        <w:t xml:space="preserve">a range of completed: </w:t>
      </w:r>
    </w:p>
    <w:p w:rsidR="00000000" w:rsidRPr="00300A9A" w:rsidP="00300A9A">
      <w:pPr>
        <w:pStyle w:val="ListBullet2"/>
      </w:pPr>
      <w:r w:rsidRPr="00300A9A">
        <w:t>prescriptions</w:t>
      </w:r>
    </w:p>
    <w:p w:rsidR="00000000" w:rsidRPr="00300A9A" w:rsidP="00300A9A">
      <w:pPr>
        <w:pStyle w:val="ListBullet2"/>
      </w:pPr>
      <w:r w:rsidRPr="00300A9A">
        <w:t>drug charts</w:t>
      </w:r>
    </w:p>
    <w:p w:rsidR="00000000" w:rsidRPr="00300A9A" w:rsidP="00300A9A">
      <w:pPr>
        <w:pStyle w:val="ListBullet2"/>
      </w:pPr>
      <w:r w:rsidRPr="00300A9A">
        <w:t>patient medication profiles</w:t>
      </w:r>
    </w:p>
    <w:p w:rsidR="00000000" w:rsidRPr="00300A9A" w:rsidP="00300A9A">
      <w:pPr>
        <w:pStyle w:val="ListBullet2"/>
      </w:pPr>
      <w:r w:rsidRPr="00300A9A">
        <w:t>se</w:t>
      </w:r>
      <w:r w:rsidRPr="00300A9A">
        <w:t>rvice contracts</w:t>
      </w:r>
    </w:p>
    <w:p w:rsidR="00000000" w:rsidRPr="00300A9A" w:rsidP="00300A9A">
      <w:pPr>
        <w:pStyle w:val="ListBullet2"/>
      </w:pPr>
      <w:r w:rsidRPr="00300A9A">
        <w:t>DAA orders, instructions and checklists</w:t>
      </w:r>
    </w:p>
    <w:p w:rsidR="00000000" w:rsidRPr="00300A9A" w:rsidP="00300A9A">
      <w:pPr>
        <w:pStyle w:val="ListBullet"/>
      </w:pPr>
      <w:r w:rsidRPr="00300A9A">
        <w:t>materials for DAA labelling (for cautionary and advisory details and to print customer details, medicine details and directions for use)</w:t>
      </w:r>
    </w:p>
    <w:p w:rsidR="00000000" w:rsidRPr="00300A9A" w:rsidP="00300A9A">
      <w:pPr>
        <w:pStyle w:val="ListBullet"/>
      </w:pPr>
      <w:r w:rsidRPr="00300A9A">
        <w:t>Pharmaceutical Society of Australia’s Professional Practice St</w:t>
      </w:r>
      <w:r w:rsidRPr="00300A9A">
        <w:t>andards – provisions relevant to dose administration aids services</w:t>
      </w:r>
    </w:p>
    <w:p w:rsidR="00000000" w:rsidRPr="00300A9A" w:rsidP="00300A9A">
      <w:pPr>
        <w:pStyle w:val="ListBullet"/>
      </w:pPr>
      <w:r w:rsidRPr="00300A9A">
        <w:t>organisational procedures for preparing dose administration aids</w:t>
      </w:r>
    </w:p>
    <w:p w:rsidR="00000000" w:rsidRPr="00300A9A" w:rsidP="00300A9A">
      <w:pPr>
        <w:pStyle w:val="ListBullet"/>
      </w:pPr>
      <w:r w:rsidRPr="00300A9A">
        <w:t>customers with whom the individual can interact</w:t>
      </w:r>
    </w:p>
    <w:p w:rsidR="00000000" w:rsidRPr="00300A9A" w:rsidP="00300A9A">
      <w:pPr>
        <w:pStyle w:val="ListBullet"/>
      </w:pPr>
      <w:r w:rsidRPr="00300A9A">
        <w:t>pharmacists with whom the individual can interact</w:t>
      </w:r>
    </w:p>
    <w:p w:rsidR="00000000" w:rsidRPr="00300A9A" w:rsidP="00300A9A">
      <w:pPr>
        <w:pStyle w:val="ListBullet"/>
      </w:pPr>
      <w:r w:rsidRPr="00300A9A">
        <w:t>assessment activities that allow the individual to work with commercial speed, timing and productivity to prepare dose administration aids within nominated deadlines.</w:t>
      </w:r>
    </w:p>
    <w:p w:rsidR="00000000" w:rsidRPr="00300A9A" w:rsidP="00300A9A">
      <w:pPr>
        <w:pStyle w:val="BodyText"/>
      </w:pPr>
    </w:p>
    <w:p w:rsidR="00000000" w:rsidRPr="00300A9A" w:rsidP="00890778">
      <w:pPr>
        <w:pStyle w:val="BodyText"/>
      </w:pPr>
      <w:r w:rsidRPr="00300A9A">
        <w:t>Assessors must satisfy the Standards for Registered Training Organisation’s requirements</w:t>
      </w:r>
      <w:r w:rsidRPr="00300A9A">
        <w:t xml:space="preserve"> for assessors, and</w:t>
      </w:r>
    </w:p>
    <w:p w:rsidR="00000000" w:rsidRPr="00300A9A" w:rsidP="00300A9A">
      <w:pPr>
        <w:pStyle w:val="ListBullet"/>
      </w:pPr>
      <w:r w:rsidRPr="00300A9A">
        <w:t>have worked in the pharmacy sector for at least two years.</w:t>
      </w:r>
    </w:p>
    <w:p w:rsidR="00000000" w:rsidRPr="00300A9A" w:rsidP="00300A9A">
      <w:pPr>
        <w:pStyle w:val="AllowPageBreak"/>
      </w:pPr>
    </w:p>
    <w:p w:rsidR="00000000" w:rsidRPr="00300A9A" w:rsidP="00300A9A">
      <w:pPr>
        <w:pStyle w:val="Heading1"/>
      </w:pPr>
      <w:bookmarkStart w:id="5" w:name="O_793132"/>
      <w:bookmarkEnd w:id="5"/>
      <w:r w:rsidRPr="00300A9A">
        <w:t>Links</w:t>
      </w:r>
    </w:p>
    <w:p w:rsidR="00000000" w:rsidRPr="00300A9A" w:rsidP="00890778">
      <w:pPr>
        <w:pStyle w:val="BodyText"/>
      </w:pPr>
      <w:r w:rsidRPr="00300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77BB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00A9A" w:rsidP="00300A9A"/>
    <w:sectPr w:rsidSect="00300A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9A" w:rsidRPr="00890778" w:rsidP="00890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78" w:rsidP="00300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778" w:rsidP="00300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0778" w:rsidP="00300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A9A" w:rsidRPr="00890778" w:rsidP="00890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78" w:rsidRPr="002D2AF8" w:rsidP="00300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SIRCDIS004 Assist in preparing dose administration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90778" w:rsidP="00300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01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ECF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44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A9A"/>
  </w:style>
  <w:style w:type="character" w:customStyle="1" w:styleId="Heading1Char">
    <w:name w:val="Heading 1 Char"/>
    <w:basedOn w:val="DefaultParagraphFont"/>
    <w:link w:val="Heading1"/>
    <w:rsid w:val="00300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A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0A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A9A"/>
    <w:rPr>
      <w:b/>
      <w:spacing w:val="0"/>
    </w:rPr>
  </w:style>
  <w:style w:type="paragraph" w:customStyle="1" w:styleId="SuperTitle">
    <w:name w:val="SuperTitle"/>
    <w:basedOn w:val="Title"/>
    <w:rsid w:val="00300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A9A"/>
    <w:rPr>
      <w:i/>
    </w:rPr>
  </w:style>
  <w:style w:type="paragraph" w:styleId="Caption">
    <w:name w:val="caption"/>
    <w:basedOn w:val="BodyText"/>
    <w:next w:val="Normal"/>
    <w:qFormat/>
    <w:rsid w:val="00300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A9A"/>
  </w:style>
  <w:style w:type="paragraph" w:styleId="TableofFigures">
    <w:name w:val="table of figures"/>
    <w:basedOn w:val="Normal"/>
    <w:next w:val="Normal"/>
    <w:semiHidden/>
    <w:rsid w:val="00300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0A9A"/>
    <w:rPr>
      <w:rFonts w:ascii="Wingdings" w:hAnsi="Wingdings"/>
    </w:rPr>
  </w:style>
  <w:style w:type="paragraph" w:customStyle="1" w:styleId="TableHeading">
    <w:name w:val="Table Heading"/>
    <w:basedOn w:val="HeadingBase"/>
    <w:rsid w:val="00300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A9A"/>
    <w:rPr>
      <w:color w:val="0033CC"/>
      <w:u w:val="none"/>
    </w:rPr>
  </w:style>
  <w:style w:type="paragraph" w:customStyle="1" w:styleId="BodyTextRight">
    <w:name w:val="Body Text Right"/>
    <w:basedOn w:val="BodyText"/>
    <w:rsid w:val="00300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A9A"/>
    <w:rPr>
      <w:sz w:val="32"/>
    </w:rPr>
  </w:style>
  <w:style w:type="paragraph" w:customStyle="1" w:styleId="HeadingProcedure">
    <w:name w:val="Heading Procedure"/>
    <w:basedOn w:val="HeadingBase"/>
    <w:next w:val="Normal"/>
    <w:rsid w:val="00300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A9A"/>
    <w:pPr>
      <w:spacing w:before="60" w:after="60"/>
    </w:pPr>
  </w:style>
  <w:style w:type="paragraph" w:styleId="ListContinue">
    <w:name w:val="List Continue"/>
    <w:basedOn w:val="List"/>
    <w:rsid w:val="00300A9A"/>
    <w:pPr>
      <w:ind w:firstLine="0"/>
    </w:pPr>
  </w:style>
  <w:style w:type="paragraph" w:customStyle="1" w:styleId="ListNote">
    <w:name w:val="List Note"/>
    <w:basedOn w:val="List"/>
    <w:rsid w:val="00300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A9A"/>
    <w:rPr>
      <w:rFonts w:ascii="Courier New" w:hAnsi="Courier New"/>
    </w:rPr>
  </w:style>
  <w:style w:type="paragraph" w:customStyle="1" w:styleId="NoteBullet">
    <w:name w:val="Note Bullet"/>
    <w:basedOn w:val="Note"/>
    <w:rsid w:val="00300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0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A9A"/>
    <w:rPr>
      <w:b/>
      <w:smallCaps/>
    </w:rPr>
  </w:style>
  <w:style w:type="paragraph" w:customStyle="1" w:styleId="TableListNumber">
    <w:name w:val="Table List Number"/>
    <w:basedOn w:val="ListNumber"/>
    <w:rsid w:val="00300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A9A"/>
    <w:pPr>
      <w:numPr>
        <w:numId w:val="9"/>
      </w:numPr>
    </w:pPr>
  </w:style>
  <w:style w:type="paragraph" w:customStyle="1" w:styleId="ListAlpha2">
    <w:name w:val="List Alpha 2"/>
    <w:basedOn w:val="List2"/>
    <w:rsid w:val="00300A9A"/>
    <w:pPr>
      <w:numPr>
        <w:numId w:val="8"/>
      </w:numPr>
    </w:pPr>
  </w:style>
  <w:style w:type="paragraph" w:styleId="List2">
    <w:name w:val="List 2"/>
    <w:basedOn w:val="BodyText"/>
    <w:rsid w:val="00300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0A9A"/>
    <w:pPr>
      <w:numPr>
        <w:numId w:val="4"/>
      </w:numPr>
    </w:pPr>
  </w:style>
  <w:style w:type="paragraph" w:styleId="ListContinue2">
    <w:name w:val="List Continue 2"/>
    <w:basedOn w:val="List2"/>
    <w:rsid w:val="00300A9A"/>
    <w:pPr>
      <w:ind w:firstLine="0"/>
    </w:pPr>
  </w:style>
  <w:style w:type="paragraph" w:styleId="ListContinue3">
    <w:name w:val="List Continue 3"/>
    <w:basedOn w:val="List3"/>
    <w:rsid w:val="00300A9A"/>
    <w:pPr>
      <w:ind w:left="1021" w:firstLine="0"/>
    </w:pPr>
  </w:style>
  <w:style w:type="paragraph" w:styleId="ListContinue4">
    <w:name w:val="List Continue 4"/>
    <w:basedOn w:val="List4"/>
    <w:rsid w:val="00300A9A"/>
    <w:pPr>
      <w:ind w:firstLine="0"/>
    </w:pPr>
  </w:style>
  <w:style w:type="paragraph" w:styleId="ListContinue5">
    <w:name w:val="List Continue 5"/>
    <w:basedOn w:val="List5"/>
    <w:rsid w:val="00300A9A"/>
    <w:pPr>
      <w:ind w:firstLine="0"/>
    </w:pPr>
  </w:style>
  <w:style w:type="paragraph" w:styleId="ListNumber3">
    <w:name w:val="List Number 3"/>
    <w:basedOn w:val="List3"/>
    <w:rsid w:val="00300A9A"/>
    <w:pPr>
      <w:numPr>
        <w:numId w:val="5"/>
      </w:numPr>
    </w:pPr>
  </w:style>
  <w:style w:type="paragraph" w:styleId="ListNumber4">
    <w:name w:val="List Number 4"/>
    <w:basedOn w:val="List4"/>
    <w:rsid w:val="00300A9A"/>
    <w:pPr>
      <w:numPr>
        <w:numId w:val="6"/>
      </w:numPr>
    </w:pPr>
  </w:style>
  <w:style w:type="paragraph" w:styleId="ListNumber5">
    <w:name w:val="List Number 5"/>
    <w:basedOn w:val="List5"/>
    <w:rsid w:val="00300A9A"/>
    <w:pPr>
      <w:numPr>
        <w:numId w:val="7"/>
      </w:numPr>
    </w:pPr>
  </w:style>
  <w:style w:type="paragraph" w:styleId="BlockText">
    <w:name w:val="Block Text"/>
    <w:basedOn w:val="Normal"/>
    <w:rsid w:val="00300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A9A"/>
    <w:rPr>
      <w:sz w:val="16"/>
      <w:vertAlign w:val="superscript"/>
    </w:rPr>
  </w:style>
  <w:style w:type="character" w:customStyle="1" w:styleId="Symbols">
    <w:name w:val="Symbols"/>
    <w:basedOn w:val="DefaultParagraphFont"/>
    <w:rsid w:val="00300A9A"/>
    <w:rPr>
      <w:rFonts w:ascii="Symbol" w:hAnsi="Symbol"/>
    </w:rPr>
  </w:style>
  <w:style w:type="character" w:customStyle="1" w:styleId="MenuOptions">
    <w:name w:val="Menu Options"/>
    <w:basedOn w:val="DefaultParagraphFont"/>
    <w:rsid w:val="00300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A9A"/>
    <w:rPr>
      <w:b/>
    </w:rPr>
  </w:style>
  <w:style w:type="character" w:customStyle="1" w:styleId="Underlined">
    <w:name w:val="Underlined"/>
    <w:basedOn w:val="DefaultParagraphFont"/>
    <w:rsid w:val="00300A9A"/>
    <w:rPr>
      <w:u w:val="single"/>
    </w:rPr>
  </w:style>
  <w:style w:type="paragraph" w:customStyle="1" w:styleId="TableBodyTextRight">
    <w:name w:val="Table Body Text Right"/>
    <w:basedOn w:val="TableBodyText"/>
    <w:rsid w:val="00300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A9A"/>
    <w:rPr>
      <w:sz w:val="18"/>
    </w:rPr>
  </w:style>
  <w:style w:type="paragraph" w:customStyle="1" w:styleId="BodySmallRight">
    <w:name w:val="Body Small Right"/>
    <w:basedOn w:val="BodyTextRight"/>
    <w:rsid w:val="00300A9A"/>
    <w:rPr>
      <w:sz w:val="18"/>
      <w:szCs w:val="18"/>
    </w:rPr>
  </w:style>
  <w:style w:type="paragraph" w:customStyle="1" w:styleId="MarginEdition">
    <w:name w:val="Margin Edition"/>
    <w:basedOn w:val="MarginNote"/>
    <w:rsid w:val="00300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A9A"/>
    <w:rPr>
      <w:sz w:val="2"/>
      <w:szCs w:val="2"/>
    </w:rPr>
  </w:style>
  <w:style w:type="character" w:customStyle="1" w:styleId="Small">
    <w:name w:val="Small"/>
    <w:basedOn w:val="DefaultParagraphFont"/>
    <w:rsid w:val="00300A9A"/>
    <w:rPr>
      <w:sz w:val="16"/>
    </w:rPr>
  </w:style>
  <w:style w:type="paragraph" w:customStyle="1" w:styleId="WideTable">
    <w:name w:val="Wide Table"/>
    <w:basedOn w:val="Normal"/>
    <w:rsid w:val="00300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A9A"/>
  </w:style>
  <w:style w:type="paragraph" w:styleId="Quote">
    <w:name w:val="Quote"/>
    <w:basedOn w:val="Heading1"/>
    <w:link w:val="QuoteChar"/>
    <w:qFormat/>
    <w:rsid w:val="00300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A9A"/>
    <w:pPr>
      <w:pageBreakBefore/>
    </w:pPr>
  </w:style>
  <w:style w:type="paragraph" w:customStyle="1" w:styleId="Border">
    <w:name w:val="Border"/>
    <w:basedOn w:val="Normal"/>
    <w:qFormat/>
    <w:rsid w:val="00300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A9A"/>
    <w:rPr>
      <w:u w:val="single"/>
    </w:rPr>
  </w:style>
  <w:style w:type="character" w:customStyle="1" w:styleId="BoldandItalics">
    <w:name w:val="Bold and Italics"/>
    <w:qFormat/>
    <w:rsid w:val="00300A9A"/>
    <w:rPr>
      <w:b/>
      <w:i/>
      <w:u w:val="none"/>
    </w:rPr>
  </w:style>
  <w:style w:type="paragraph" w:styleId="BalloonText">
    <w:name w:val="Balloon Text"/>
    <w:basedOn w:val="Normal"/>
    <w:link w:val="BalloonTextChar"/>
    <w:rsid w:val="00300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A9A"/>
    <w:pPr>
      <w:spacing w:before="0" w:after="0"/>
    </w:pPr>
  </w:style>
  <w:style w:type="paragraph" w:customStyle="1" w:styleId="BodyTextBold">
    <w:name w:val="Body Text Bold"/>
    <w:basedOn w:val="BodyText"/>
    <w:qFormat/>
    <w:rsid w:val="00300A9A"/>
    <w:rPr>
      <w:b/>
    </w:rPr>
  </w:style>
  <w:style w:type="character" w:styleId="Hyperlink">
    <w:name w:val="Hyperlink"/>
    <w:basedOn w:val="DefaultParagraphFont"/>
    <w:uiPriority w:val="99"/>
    <w:unhideWhenUsed/>
    <w:rsid w:val="00890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3755</Characters>
  <Application>Microsoft Office Word</Application>
  <DocSecurity>0</DocSecurity>
  <Lines>107</Lines>
  <Paragraphs>91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SIRCDIS004 Assist in preparing dose administration aids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2021-11-10T06:24:00Z</dcterms:created>
  <dcterms:modified xsi:type="dcterms:W3CDTF">2021-11-10T06:24:00Z</dcterms:modified>
</cp:coreProperties>
</file>