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0E66" w:rsidP="000B0E66">
      <w:pPr>
        <w:pStyle w:val="Title"/>
      </w:pPr>
      <w:bookmarkStart w:id="0" w:name="_GoBack"/>
      <w:bookmarkEnd w:id="0"/>
      <w:r>
        <w:fldChar w:fldCharType="begin"/>
      </w:r>
      <w:r>
        <w:instrText xml:space="preserve"> TITLE   \* MERGEFORMAT </w:instrText>
      </w:r>
      <w:r>
        <w:fldChar w:fldCharType="separate"/>
      </w:r>
      <w:r>
        <w:t>SIFOHS007A Identify hazards and assess risks in a cemetery or crematorium</w:t>
      </w:r>
      <w:r>
        <w:fldChar w:fldCharType="end"/>
      </w:r>
    </w:p>
    <w:p w:rsidR="000B0E66" w:rsidP="000B0E66">
      <w:pPr>
        <w:pStyle w:val="Version"/>
        <w:sectPr w:rsidSect="00DE35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E35A0" w:rsidP="00DE35A0">
      <w:pPr>
        <w:pStyle w:val="SuperHeading"/>
      </w:pPr>
      <w:r w:rsidRPr="00DE35A0">
        <w:t>SIFOHS007A Identify hazards and assess risks in a cemetery or crematorium</w:t>
      </w:r>
    </w:p>
    <w:p w:rsidR="00000000" w:rsidRPr="00DE35A0" w:rsidP="00DE35A0">
      <w:pPr>
        <w:pStyle w:val="Heading1"/>
      </w:pPr>
      <w:bookmarkStart w:id="1" w:name="O_137211"/>
      <w:bookmarkEnd w:id="1"/>
      <w:r w:rsidRPr="00DE35A0">
        <w:t>Modification History</w:t>
      </w:r>
    </w:p>
    <w:p w:rsidR="00000000" w:rsidRPr="00DE35A0" w:rsidP="00DE35A0">
      <w:pPr>
        <w:pStyle w:val="BodyText"/>
      </w:pPr>
      <w:r w:rsidRPr="00DE35A0">
        <w:t>Not applicable.</w:t>
      </w:r>
    </w:p>
    <w:p w:rsidR="00000000" w:rsidRPr="00DE35A0" w:rsidP="00DE35A0">
      <w:pPr>
        <w:pStyle w:val="AllowPageBreak"/>
      </w:pPr>
    </w:p>
    <w:p w:rsidR="00000000" w:rsidRPr="00DE35A0" w:rsidP="00DE35A0">
      <w:pPr>
        <w:pStyle w:val="Heading1"/>
      </w:pPr>
      <w:bookmarkStart w:id="2" w:name="O_137212"/>
      <w:bookmarkEnd w:id="2"/>
      <w:r w:rsidRPr="00DE35A0">
        <w:t>Unit Descriptor</w:t>
      </w:r>
    </w:p>
    <w:tbl>
      <w:tblPr>
        <w:tblW w:w="0" w:type="auto"/>
        <w:tblLayout w:type="fixed"/>
        <w:tblCellMar>
          <w:left w:w="62" w:type="dxa"/>
          <w:right w:w="62" w:type="dxa"/>
        </w:tblCellMar>
        <w:tblLook w:val="0000"/>
      </w:tblPr>
      <w:tblGrid>
        <w:gridCol w:w="2836"/>
        <w:gridCol w:w="6344"/>
      </w:tblGrid>
      <w:tr w:rsidTr="000B0E6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rPr>
                <w:rStyle w:val="SpecialBold"/>
              </w:rPr>
              <w:t>Unit d</w:t>
            </w:r>
            <w:r w:rsidRPr="00DE35A0">
              <w:rPr>
                <w:rStyle w:val="SpecialBold"/>
              </w:rPr>
              <w:t>escriptor</w:t>
            </w:r>
          </w:p>
        </w:tc>
        <w:tc>
          <w:tcPr>
            <w:tcW w:w="6344" w:type="dxa"/>
            <w:tcBorders>
              <w:top w:val="nil"/>
              <w:left w:val="nil"/>
              <w:bottom w:val="nil"/>
              <w:right w:val="nil"/>
            </w:tcBorders>
            <w:tcMar>
              <w:top w:w="0" w:type="dxa"/>
              <w:left w:w="62" w:type="dxa"/>
              <w:bottom w:w="0" w:type="dxa"/>
              <w:right w:w="62" w:type="dxa"/>
            </w:tcMar>
          </w:tcPr>
          <w:p w:rsidR="00000000" w:rsidRPr="00DE35A0" w:rsidP="00DE35A0">
            <w:pPr>
              <w:pStyle w:val="BodyText"/>
            </w:pPr>
            <w:r w:rsidRPr="00DE35A0">
              <w:t>This unit addresses the knowledge, skills and techniques necessary to provide an effective contribution to the identification of workplace hazards and assessment of confined space risks in the workplace. The unit describes the performance outcome</w:t>
            </w:r>
            <w:r w:rsidRPr="00DE35A0">
              <w:t xml:space="preserve">s, skills and knowledge required to apply risk control processes at a cemetery or crematorium. It includes identifying hazards; assessing risks; identifying unacceptable risks; identifying, analysing and implementing risk treatment; and completing records </w:t>
            </w:r>
            <w:r w:rsidRPr="00DE35A0">
              <w:t xml:space="preserve">and reports. </w:t>
            </w:r>
          </w:p>
          <w:p w:rsidR="00000000" w:rsidRPr="00DE35A0" w:rsidP="00DE35A0">
            <w:pPr>
              <w:pStyle w:val="BodyText"/>
            </w:pPr>
            <w:r w:rsidRPr="00DE35A0">
              <w:t>This unit covers the control of risks associated with entry to confined spaces for maintenance and servicing of crematoria or other necessary reasons, such as preparing graves in green and brownfield sites, reopening and exhuming graves. Work</w:t>
            </w:r>
            <w:r w:rsidRPr="00DE35A0">
              <w:t xml:space="preserve"> in or entry to confined spaces shall conform to relevant legislation and AS2865:2001, or its authorised update or replacement. </w:t>
            </w:r>
          </w:p>
          <w:p w:rsidR="00000000" w:rsidP="00DE35A0">
            <w:pPr>
              <w:pStyle w:val="BodyText"/>
              <w:rPr>
                <w:lang w:val="en-NZ"/>
              </w:rPr>
            </w:pPr>
            <w:r w:rsidRPr="00DE35A0">
              <w:t>It is expected that all persons entering the confined space, and the stand-by person, will be competent to enter confined space</w:t>
            </w:r>
            <w:r w:rsidRPr="00DE35A0">
              <w:t>s. It is required that all team members will be trained in incident response, including first aid or CPR. It is also expected that contractors entering confined spaces on the cemetery or the crematorium will also follow confined space requirements.</w:t>
            </w:r>
          </w:p>
        </w:tc>
      </w:tr>
      <w:tr w:rsidTr="000B0E6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E35A0" w:rsidP="00DE35A0">
            <w:pPr>
              <w:pStyle w:val="BodyText"/>
            </w:pPr>
          </w:p>
        </w:tc>
      </w:tr>
    </w:tbl>
    <w:p w:rsidR="00000000" w:rsidRPr="00DE35A0" w:rsidP="00DE35A0">
      <w:pPr>
        <w:pStyle w:val="BodyText"/>
      </w:pPr>
    </w:p>
    <w:p w:rsidR="00000000" w:rsidRPr="00DE35A0" w:rsidP="00DE35A0">
      <w:pPr>
        <w:pStyle w:val="AllowPageBreak"/>
      </w:pPr>
    </w:p>
    <w:p w:rsidR="00000000" w:rsidRPr="00DE35A0" w:rsidP="00DE35A0">
      <w:pPr>
        <w:pStyle w:val="Heading1"/>
      </w:pPr>
      <w:bookmarkStart w:id="3" w:name="O_137213"/>
      <w:bookmarkEnd w:id="3"/>
      <w:r w:rsidRPr="00DE35A0">
        <w:t>Application of the Unit</w:t>
      </w:r>
    </w:p>
    <w:tbl>
      <w:tblPr>
        <w:tblW w:w="0" w:type="auto"/>
        <w:tblLayout w:type="fixed"/>
        <w:tblCellMar>
          <w:left w:w="62" w:type="dxa"/>
          <w:right w:w="62" w:type="dxa"/>
        </w:tblCellMar>
        <w:tblLook w:val="0000"/>
      </w:tblPr>
      <w:tblGrid>
        <w:gridCol w:w="2836"/>
        <w:gridCol w:w="6344"/>
      </w:tblGrid>
      <w:tr w:rsidTr="000B0E6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t>The work covered in this unit relates to AS/NZS4360:1999 Risk Management.</w:t>
            </w:r>
          </w:p>
        </w:tc>
      </w:tr>
      <w:tr w:rsidTr="000B0E6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E35A0" w:rsidP="00DE35A0">
            <w:pPr>
              <w:pStyle w:val="BodyText"/>
            </w:pPr>
          </w:p>
        </w:tc>
      </w:tr>
    </w:tbl>
    <w:p w:rsidR="00000000" w:rsidRPr="00DE35A0" w:rsidP="00DE35A0">
      <w:pPr>
        <w:pStyle w:val="BodyText"/>
      </w:pPr>
    </w:p>
    <w:p w:rsidR="00000000" w:rsidRPr="00DE35A0" w:rsidP="00DE35A0">
      <w:pPr>
        <w:pStyle w:val="AllowPageBreak"/>
      </w:pPr>
    </w:p>
    <w:p w:rsidR="00000000" w:rsidRPr="00DE35A0" w:rsidP="00DE35A0">
      <w:pPr>
        <w:pStyle w:val="Heading1"/>
      </w:pPr>
      <w:bookmarkStart w:id="4" w:name="O_137214"/>
      <w:bookmarkEnd w:id="4"/>
      <w:r w:rsidRPr="00DE35A0">
        <w:t>Licensing/Regulatory Information</w:t>
      </w:r>
    </w:p>
    <w:p w:rsidR="00000000" w:rsidRPr="00DE35A0" w:rsidP="00DE35A0">
      <w:pPr>
        <w:pStyle w:val="BodyText"/>
      </w:pPr>
      <w:r w:rsidRPr="00DE35A0">
        <w:t>Not applicable.</w:t>
      </w:r>
    </w:p>
    <w:p w:rsidR="00000000" w:rsidRPr="00DE35A0" w:rsidP="00DE35A0">
      <w:pPr>
        <w:pStyle w:val="AllowPageBreak"/>
      </w:pPr>
    </w:p>
    <w:p w:rsidR="00000000" w:rsidRPr="00DE35A0" w:rsidP="00DE35A0">
      <w:pPr>
        <w:pStyle w:val="Heading1"/>
      </w:pPr>
      <w:bookmarkStart w:id="5" w:name="O_137216"/>
      <w:bookmarkEnd w:id="5"/>
      <w:r w:rsidRPr="00DE35A0">
        <w:t>Pre-Requisites</w:t>
      </w:r>
    </w:p>
    <w:tbl>
      <w:tblPr>
        <w:tblW w:w="0" w:type="auto"/>
        <w:tblLayout w:type="fixed"/>
        <w:tblCellMar>
          <w:left w:w="62" w:type="dxa"/>
          <w:right w:w="62" w:type="dxa"/>
        </w:tblCellMar>
        <w:tblLook w:val="0000"/>
      </w:tblPr>
      <w:tblGrid>
        <w:gridCol w:w="2836"/>
        <w:gridCol w:w="6344"/>
      </w:tblGrid>
      <w:tr w:rsidTr="000B0E6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t>Nil</w:t>
            </w:r>
          </w:p>
        </w:tc>
      </w:tr>
      <w:tr w:rsidTr="000B0E6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E35A0" w:rsidP="00DE35A0">
            <w:pPr>
              <w:pStyle w:val="BodyText"/>
            </w:pPr>
          </w:p>
        </w:tc>
      </w:tr>
    </w:tbl>
    <w:p w:rsidR="00000000" w:rsidRPr="00DE35A0" w:rsidP="00DE35A0">
      <w:pPr>
        <w:pStyle w:val="BodyText"/>
      </w:pPr>
    </w:p>
    <w:p w:rsidR="00000000" w:rsidRPr="00DE35A0" w:rsidP="00DE35A0">
      <w:pPr>
        <w:pStyle w:val="AllowPageBreak"/>
      </w:pPr>
    </w:p>
    <w:p w:rsidR="00000000" w:rsidRPr="00DE35A0" w:rsidP="00DE35A0">
      <w:pPr>
        <w:pStyle w:val="Heading1"/>
      </w:pPr>
      <w:bookmarkStart w:id="6" w:name="O_137215"/>
      <w:bookmarkEnd w:id="6"/>
      <w:r w:rsidRPr="00DE35A0">
        <w:t>Employability Skills Information</w:t>
      </w:r>
    </w:p>
    <w:tbl>
      <w:tblPr>
        <w:tblW w:w="0" w:type="auto"/>
        <w:tblLayout w:type="fixed"/>
        <w:tblCellMar>
          <w:left w:w="62" w:type="dxa"/>
          <w:right w:w="62" w:type="dxa"/>
        </w:tblCellMar>
        <w:tblLook w:val="0000"/>
      </w:tblPr>
      <w:tblGrid>
        <w:gridCol w:w="2836"/>
        <w:gridCol w:w="6344"/>
      </w:tblGrid>
      <w:tr w:rsidTr="000B0E6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t>This unit contains employability skills.</w:t>
            </w:r>
          </w:p>
        </w:tc>
      </w:tr>
      <w:tr w:rsidTr="000B0E6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E35A0" w:rsidP="00DE35A0">
            <w:pPr>
              <w:pStyle w:val="BodyText"/>
            </w:pPr>
          </w:p>
        </w:tc>
      </w:tr>
    </w:tbl>
    <w:p w:rsidR="00000000" w:rsidRPr="00DE35A0" w:rsidP="00DE35A0">
      <w:pPr>
        <w:pStyle w:val="BodyText"/>
      </w:pPr>
    </w:p>
    <w:p w:rsidR="00000000" w:rsidRPr="00DE35A0" w:rsidP="00DE35A0">
      <w:pPr>
        <w:pStyle w:val="AllowPageBreak"/>
      </w:pPr>
    </w:p>
    <w:p w:rsidR="00000000" w:rsidRPr="00DE35A0" w:rsidP="00DE35A0">
      <w:pPr>
        <w:pStyle w:val="Heading1"/>
      </w:pPr>
      <w:bookmarkStart w:id="7" w:name="O_137217"/>
      <w:bookmarkEnd w:id="7"/>
      <w:r w:rsidRPr="00DE35A0">
        <w:t>Elements and Performance Criteria Pre-Content</w:t>
      </w:r>
    </w:p>
    <w:tbl>
      <w:tblPr>
        <w:tblW w:w="0" w:type="auto"/>
        <w:tblLayout w:type="fixed"/>
        <w:tblCellMar>
          <w:left w:w="62" w:type="dxa"/>
          <w:right w:w="62" w:type="dxa"/>
        </w:tblCellMar>
        <w:tblLook w:val="0000"/>
      </w:tblPr>
      <w:tblGrid>
        <w:gridCol w:w="2836"/>
        <w:gridCol w:w="6344"/>
      </w:tblGrid>
      <w:tr w:rsidTr="000B0E6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E35A0" w:rsidP="00DE35A0">
            <w:pPr>
              <w:pStyle w:val="BodyText"/>
            </w:pPr>
            <w:r w:rsidRPr="00DE35A0">
              <w:t>Performance criteria describe the required performance needed to demonstrate achievement of the element. Where bold italicised text is used, further information is detailed in the required s</w:t>
            </w:r>
            <w:r w:rsidRPr="00DE35A0">
              <w:t>kills and knowledge and/or the range statement. Assessment of performance is to be consistent with the evidence guide.</w:t>
            </w:r>
          </w:p>
        </w:tc>
      </w:tr>
    </w:tbl>
    <w:p w:rsidR="00000000" w:rsidRPr="00DE35A0" w:rsidP="00DE35A0">
      <w:pPr>
        <w:pStyle w:val="BodyText"/>
      </w:pPr>
    </w:p>
    <w:p w:rsidR="00000000" w:rsidRPr="00DE35A0" w:rsidP="00DE35A0">
      <w:pPr>
        <w:pStyle w:val="AllowPageBreak"/>
      </w:pPr>
    </w:p>
    <w:p w:rsidR="00000000" w:rsidRPr="00DE35A0" w:rsidP="00DE35A0">
      <w:pPr>
        <w:pStyle w:val="Heading1"/>
      </w:pPr>
      <w:bookmarkStart w:id="8" w:name="O_137218"/>
      <w:bookmarkEnd w:id="8"/>
      <w:r w:rsidRPr="00DE35A0">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0B0E66">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E35A0" w:rsidP="00DE35A0">
            <w:pPr>
              <w:pStyle w:val="List"/>
            </w:pPr>
            <w:r w:rsidRPr="00DE35A0">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rPr>
                <w:rStyle w:val="SpecialBold"/>
              </w:rPr>
              <w:t>PERFORMANCE CRITERIA</w:t>
            </w:r>
          </w:p>
        </w:tc>
      </w:tr>
      <w:tr w:rsidTr="000B0E6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p>
        </w:tc>
      </w:tr>
      <w:tr w:rsidTr="000B0E6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1</w:t>
            </w:r>
          </w:p>
        </w:tc>
        <w:tc>
          <w:tcPr>
            <w:tcW w:w="2410" w:type="dxa"/>
            <w:vMerge w:val="restart"/>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Assess risk and identify unacceptable risk in cemetery and crematorium.</w:t>
            </w:r>
          </w:p>
        </w:tc>
        <w:tc>
          <w:tcPr>
            <w:tcW w:w="56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1.1</w:t>
            </w:r>
          </w:p>
        </w:tc>
        <w:tc>
          <w:tcPr>
            <w:tcW w:w="577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 xml:space="preserve">Conduct a </w:t>
            </w:r>
            <w:r w:rsidRPr="00DE35A0">
              <w:rPr>
                <w:rStyle w:val="BoldandItalics"/>
              </w:rPr>
              <w:t>risk assessment</w:t>
            </w:r>
            <w:r w:rsidRPr="00DE35A0">
              <w:t xml:space="preserve"> of </w:t>
            </w:r>
            <w:r w:rsidRPr="00DE35A0">
              <w:rPr>
                <w:rStyle w:val="BoldandItalics"/>
              </w:rPr>
              <w:t>potential hazards</w:t>
            </w:r>
            <w:r w:rsidRPr="00DE35A0">
              <w:t xml:space="preserve"> in the cemetery or crematorium.</w:t>
            </w:r>
          </w:p>
        </w:tc>
      </w:tr>
      <w:tr w:rsidTr="000B0E6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1.2</w:t>
            </w:r>
          </w:p>
        </w:tc>
        <w:tc>
          <w:tcPr>
            <w:tcW w:w="577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 xml:space="preserve">Evaluate and determine </w:t>
            </w:r>
            <w:r w:rsidRPr="00DE35A0">
              <w:rPr>
                <w:rStyle w:val="BoldandItalics"/>
              </w:rPr>
              <w:t>consequence</w:t>
            </w:r>
            <w:r w:rsidRPr="00DE35A0">
              <w:t xml:space="preserve"> if a confined space hazard is present.</w:t>
            </w:r>
          </w:p>
        </w:tc>
      </w:tr>
      <w:tr w:rsidTr="000B0E6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1.3</w:t>
            </w:r>
          </w:p>
        </w:tc>
        <w:tc>
          <w:tcPr>
            <w:tcW w:w="577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 xml:space="preserve">Consider and determine </w:t>
            </w:r>
            <w:r w:rsidRPr="00DE35A0">
              <w:rPr>
                <w:rStyle w:val="BoldandItalics"/>
              </w:rPr>
              <w:t>likelihood</w:t>
            </w:r>
            <w:r w:rsidRPr="00DE35A0">
              <w:t xml:space="preserve"> of hazard exposure.</w:t>
            </w:r>
          </w:p>
        </w:tc>
      </w:tr>
      <w:tr w:rsidTr="000B0E6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1.4</w:t>
            </w:r>
          </w:p>
        </w:tc>
        <w:tc>
          <w:tcPr>
            <w:tcW w:w="577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 xml:space="preserve">Identify and source </w:t>
            </w:r>
            <w:r w:rsidRPr="00DE35A0">
              <w:rPr>
                <w:rStyle w:val="BoldandItalics"/>
              </w:rPr>
              <w:t>criteria for acceptability or unacceptability of the risk</w:t>
            </w:r>
            <w:r w:rsidRPr="00DE35A0">
              <w:t>.</w:t>
            </w:r>
          </w:p>
        </w:tc>
      </w:tr>
      <w:tr w:rsidTr="000B0E6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1.5</w:t>
            </w:r>
          </w:p>
        </w:tc>
        <w:tc>
          <w:tcPr>
            <w:tcW w:w="577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 xml:space="preserve">Evaluate risk against criteria to identify if it warrants </w:t>
            </w:r>
            <w:r w:rsidRPr="00DE35A0">
              <w:t>'unacceptable risk' status and action or refer to appropriate party as required.</w:t>
            </w:r>
          </w:p>
        </w:tc>
      </w:tr>
      <w:tr w:rsidTr="000B0E6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p>
        </w:tc>
      </w:tr>
      <w:tr w:rsidTr="000B0E6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2</w:t>
            </w:r>
          </w:p>
        </w:tc>
        <w:tc>
          <w:tcPr>
            <w:tcW w:w="2410" w:type="dxa"/>
            <w:vMerge w:val="restart"/>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Identify confined space hazards in cemetery and crematorium.</w:t>
            </w:r>
          </w:p>
        </w:tc>
        <w:tc>
          <w:tcPr>
            <w:tcW w:w="56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2.1</w:t>
            </w:r>
          </w:p>
        </w:tc>
        <w:tc>
          <w:tcPr>
            <w:tcW w:w="577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 xml:space="preserve">Clearly identify actual and potential confined spaces through review of the nature of the space and its </w:t>
            </w:r>
            <w:r w:rsidRPr="00DE35A0">
              <w:rPr>
                <w:rStyle w:val="BoldandItalics"/>
              </w:rPr>
              <w:t>characteristics</w:t>
            </w:r>
            <w:r w:rsidRPr="00DE35A0">
              <w:t>.</w:t>
            </w:r>
          </w:p>
        </w:tc>
      </w:tr>
      <w:tr w:rsidTr="000B0E6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2.2</w:t>
            </w:r>
          </w:p>
        </w:tc>
        <w:tc>
          <w:tcPr>
            <w:tcW w:w="577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 xml:space="preserve">Analyse work area conditions to identify or recognise potential </w:t>
            </w:r>
            <w:r w:rsidRPr="00DE35A0">
              <w:rPr>
                <w:rStyle w:val="BoldandItalics"/>
              </w:rPr>
              <w:t>confined space</w:t>
            </w:r>
            <w:r w:rsidRPr="00DE35A0">
              <w:t xml:space="preserve"> </w:t>
            </w:r>
            <w:r w:rsidRPr="00DE35A0">
              <w:rPr>
                <w:rStyle w:val="BoldandItalics"/>
              </w:rPr>
              <w:t>hazards in the workplace</w:t>
            </w:r>
            <w:r w:rsidRPr="00DE35A0">
              <w:t>.</w:t>
            </w:r>
          </w:p>
        </w:tc>
      </w:tr>
      <w:tr w:rsidTr="000B0E6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2.3</w:t>
            </w:r>
          </w:p>
        </w:tc>
        <w:tc>
          <w:tcPr>
            <w:tcW w:w="577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Access and analyse information on existing risk control practices and use as appropriate.</w:t>
            </w:r>
          </w:p>
        </w:tc>
      </w:tr>
      <w:tr w:rsidTr="000B0E6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2.4</w:t>
            </w:r>
          </w:p>
        </w:tc>
        <w:tc>
          <w:tcPr>
            <w:tcW w:w="577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Recognise type and scope of unresolved confined space hazards and their likely impact.</w:t>
            </w:r>
          </w:p>
        </w:tc>
      </w:tr>
      <w:tr w:rsidTr="000B0E6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p>
        </w:tc>
      </w:tr>
      <w:tr w:rsidTr="000B0E6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3</w:t>
            </w:r>
          </w:p>
        </w:tc>
        <w:tc>
          <w:tcPr>
            <w:tcW w:w="2410" w:type="dxa"/>
            <w:vMerge w:val="restart"/>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Identify, analyse and implement risk treatments for an identified confined space.</w:t>
            </w:r>
          </w:p>
        </w:tc>
        <w:tc>
          <w:tcPr>
            <w:tcW w:w="56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3.1</w:t>
            </w:r>
          </w:p>
        </w:tc>
        <w:tc>
          <w:tcPr>
            <w:tcW w:w="577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 xml:space="preserve">Identify and consider all possible </w:t>
            </w:r>
            <w:r w:rsidRPr="00DE35A0">
              <w:rPr>
                <w:rStyle w:val="BoldandItalics"/>
              </w:rPr>
              <w:t>risk treatment options</w:t>
            </w:r>
            <w:r w:rsidRPr="00DE35A0">
              <w:t>.</w:t>
            </w:r>
          </w:p>
        </w:tc>
      </w:tr>
      <w:tr w:rsidTr="000B0E6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3.2</w:t>
            </w:r>
          </w:p>
        </w:tc>
        <w:tc>
          <w:tcPr>
            <w:tcW w:w="577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Identify feasible options by preliminary analysis and consideration of possible options.</w:t>
            </w:r>
          </w:p>
        </w:tc>
      </w:tr>
      <w:tr w:rsidTr="000B0E6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3.3</w:t>
            </w:r>
          </w:p>
        </w:tc>
        <w:tc>
          <w:tcPr>
            <w:tcW w:w="577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Analyse feasible risk treatment options and identify resource requirements.</w:t>
            </w:r>
          </w:p>
        </w:tc>
      </w:tr>
      <w:tr w:rsidTr="000B0E6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E35A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3.4</w:t>
            </w:r>
          </w:p>
        </w:tc>
        <w:tc>
          <w:tcPr>
            <w:tcW w:w="577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Select most appropriate action for dealing with the risk.</w:t>
            </w:r>
          </w:p>
        </w:tc>
      </w:tr>
      <w:tr w:rsidTr="000B0E6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3.5</w:t>
            </w:r>
          </w:p>
        </w:tc>
        <w:tc>
          <w:tcPr>
            <w:tcW w:w="577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Plan and prepare for risk control in detail and acquire or obtain required resources.</w:t>
            </w:r>
          </w:p>
        </w:tc>
      </w:tr>
      <w:tr w:rsidTr="000B0E6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p>
        </w:tc>
      </w:tr>
      <w:tr w:rsidTr="000B0E6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4</w:t>
            </w:r>
          </w:p>
        </w:tc>
        <w:tc>
          <w:tcPr>
            <w:tcW w:w="2410" w:type="dxa"/>
            <w:vMerge w:val="restart"/>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Complete records and reports.</w:t>
            </w:r>
          </w:p>
        </w:tc>
        <w:tc>
          <w:tcPr>
            <w:tcW w:w="56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4.1</w:t>
            </w:r>
          </w:p>
        </w:tc>
        <w:tc>
          <w:tcPr>
            <w:tcW w:w="577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Communicate information on risk control implementation to relevant people.</w:t>
            </w:r>
          </w:p>
        </w:tc>
      </w:tr>
      <w:tr w:rsidTr="000B0E6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4.2</w:t>
            </w:r>
          </w:p>
        </w:tc>
        <w:tc>
          <w:tcPr>
            <w:tcW w:w="577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 xml:space="preserve">Complete </w:t>
            </w:r>
            <w:r w:rsidRPr="00DE35A0">
              <w:rPr>
                <w:rStyle w:val="BoldandItalics"/>
              </w:rPr>
              <w:t>records and reports</w:t>
            </w:r>
            <w:r w:rsidRPr="00DE35A0">
              <w:t xml:space="preserve"> for hazards and risk control </w:t>
            </w:r>
            <w:r w:rsidRPr="00DE35A0">
              <w:t>actions from personal risk assessment as specified by legislative and site requirements.</w:t>
            </w:r>
          </w:p>
        </w:tc>
      </w:tr>
      <w:tr w:rsidTr="000B0E6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E35A0">
            <w:pPr>
              <w:pStyle w:val="List"/>
              <w:rPr>
                <w:lang w:val="en-NZ"/>
              </w:rPr>
            </w:pPr>
            <w:r w:rsidRPr="00DE35A0">
              <w:t>4.3</w:t>
            </w:r>
          </w:p>
        </w:tc>
        <w:tc>
          <w:tcPr>
            <w:tcW w:w="5777" w:type="dxa"/>
            <w:tcBorders>
              <w:top w:val="nil"/>
              <w:left w:val="nil"/>
              <w:bottom w:val="nil"/>
              <w:right w:val="nil"/>
            </w:tcBorders>
            <w:tcMar>
              <w:top w:w="0" w:type="dxa"/>
              <w:left w:w="62" w:type="dxa"/>
              <w:bottom w:w="0" w:type="dxa"/>
              <w:right w:w="62" w:type="dxa"/>
            </w:tcMar>
          </w:tcPr>
          <w:p w:rsidR="00000000" w:rsidRPr="00DE35A0" w:rsidP="00DE35A0">
            <w:pPr>
              <w:pStyle w:val="List"/>
            </w:pPr>
            <w:r w:rsidRPr="00DE35A0">
              <w:t>Provide feedback and input to OHS practitioners on range of variables associated with confined space work to improve hazard and risk management.</w:t>
            </w:r>
          </w:p>
        </w:tc>
      </w:tr>
    </w:tbl>
    <w:p w:rsidR="00000000" w:rsidRPr="00DE35A0" w:rsidP="00DE35A0">
      <w:pPr>
        <w:pStyle w:val="BodyText"/>
      </w:pPr>
    </w:p>
    <w:p w:rsidR="00000000" w:rsidRPr="00DE35A0" w:rsidP="00DE35A0">
      <w:pPr>
        <w:pStyle w:val="AllowPageBreak"/>
      </w:pPr>
    </w:p>
    <w:p w:rsidR="00000000" w:rsidRPr="00DE35A0" w:rsidP="00DE35A0">
      <w:pPr>
        <w:pStyle w:val="Heading1"/>
      </w:pPr>
      <w:bookmarkStart w:id="9" w:name="O_137219"/>
      <w:bookmarkEnd w:id="9"/>
      <w:r w:rsidRPr="00DE35A0">
        <w:t>Required Skills and Knowledge</w:t>
      </w:r>
    </w:p>
    <w:tbl>
      <w:tblPr>
        <w:tblW w:w="0" w:type="auto"/>
        <w:tblLayout w:type="fixed"/>
        <w:tblCellMar>
          <w:left w:w="62" w:type="dxa"/>
          <w:right w:w="62" w:type="dxa"/>
        </w:tblCellMar>
        <w:tblLook w:val="0000"/>
      </w:tblPr>
      <w:tblGrid>
        <w:gridCol w:w="9180"/>
      </w:tblGrid>
      <w:tr w:rsidTr="000B0E66">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rPr>
                <w:rStyle w:val="SpecialBold"/>
              </w:rPr>
              <w:t>REQUIRED SKILLS AND KNOWLEDGE</w:t>
            </w:r>
          </w:p>
        </w:tc>
      </w:tr>
      <w:tr w:rsidTr="000B0E6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t>This section describes the skills and knowledge required for this unit.</w:t>
            </w:r>
          </w:p>
        </w:tc>
      </w:tr>
      <w:tr w:rsidTr="000B0E6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p>
        </w:tc>
      </w:tr>
      <w:tr w:rsidTr="000B0E6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E35A0" w:rsidP="00DE35A0">
            <w:pPr>
              <w:pStyle w:val="BodyText"/>
            </w:pPr>
            <w:r w:rsidRPr="00DE35A0">
              <w:rPr>
                <w:rStyle w:val="SpecialBold"/>
              </w:rPr>
              <w:t>Required skills</w:t>
            </w:r>
            <w:r w:rsidRPr="00DE35A0">
              <w:t xml:space="preserve"> </w:t>
            </w:r>
          </w:p>
          <w:p w:rsidR="00000000" w:rsidRPr="00DE35A0" w:rsidP="00DE35A0">
            <w:pPr>
              <w:pStyle w:val="ListBullet"/>
            </w:pPr>
            <w:r w:rsidRPr="00DE35A0">
              <w:t>problem-solving skills to identify and assess hazards and risks and develop treatment options</w:t>
            </w:r>
          </w:p>
          <w:p w:rsidR="00000000" w:rsidRPr="00DE35A0" w:rsidP="00DE35A0">
            <w:pPr>
              <w:pStyle w:val="ListBullet"/>
            </w:pPr>
            <w:r w:rsidRPr="00DE35A0">
              <w:t>c</w:t>
            </w:r>
            <w:r w:rsidRPr="00DE35A0">
              <w:t>ommunication skills, including clear and direct communication and active listening and questioning techniques, to inform relevant personnel of required actions and contribute to risk management improvements</w:t>
            </w:r>
          </w:p>
          <w:p w:rsidR="00000000" w:rsidP="00DE35A0">
            <w:pPr>
              <w:pStyle w:val="ListBullet"/>
              <w:rPr>
                <w:lang w:val="en-NZ"/>
              </w:rPr>
            </w:pPr>
            <w:r w:rsidRPr="00DE35A0">
              <w:t>literacy and numeracy skills to access and analys</w:t>
            </w:r>
            <w:r w:rsidRPr="00DE35A0">
              <w:t>e required information and complete records and reports.</w:t>
            </w:r>
          </w:p>
        </w:tc>
      </w:tr>
      <w:tr w:rsidTr="000B0E6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p>
        </w:tc>
      </w:tr>
      <w:tr w:rsidTr="000B0E6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E35A0" w:rsidP="00DE35A0">
            <w:pPr>
              <w:pStyle w:val="BodyText"/>
            </w:pPr>
            <w:r w:rsidRPr="00DE35A0">
              <w:rPr>
                <w:rStyle w:val="SpecialBold"/>
              </w:rPr>
              <w:t>Required knowledge</w:t>
            </w:r>
          </w:p>
          <w:p w:rsidR="00000000" w:rsidRPr="00DE35A0" w:rsidP="00DE35A0">
            <w:pPr>
              <w:pStyle w:val="ListBullet"/>
            </w:pPr>
            <w:r w:rsidRPr="00DE35A0">
              <w:t>cemetery and crematorium risk management procedures, including emergency planning</w:t>
            </w:r>
          </w:p>
          <w:p w:rsidR="00000000" w:rsidRPr="00DE35A0" w:rsidP="00DE35A0">
            <w:pPr>
              <w:pStyle w:val="ListBullet"/>
            </w:pPr>
            <w:r w:rsidRPr="00DE35A0">
              <w:t xml:space="preserve">cemetery and crematorium health and safety system information </w:t>
            </w:r>
          </w:p>
          <w:p w:rsidR="00000000" w:rsidRPr="00DE35A0" w:rsidP="00DE35A0">
            <w:pPr>
              <w:pStyle w:val="ListBullet"/>
            </w:pPr>
            <w:r w:rsidRPr="00DE35A0">
              <w:t>cemetery and crematorium communication, reporting and recording procedures</w:t>
            </w:r>
          </w:p>
          <w:p w:rsidR="00000000" w:rsidRPr="00DE35A0" w:rsidP="00DE35A0">
            <w:pPr>
              <w:pStyle w:val="ListBullet"/>
            </w:pPr>
            <w:r w:rsidRPr="00DE35A0">
              <w:t>broad and working knowledge of relevant state or territory OHS legislation, specifically requirements for:</w:t>
            </w:r>
          </w:p>
          <w:p w:rsidR="00000000" w:rsidRPr="00DE35A0" w:rsidP="00DE35A0">
            <w:pPr>
              <w:pStyle w:val="ListBullet2"/>
            </w:pPr>
            <w:r w:rsidRPr="00DE35A0">
              <w:t>when, where and how hazards must be identified</w:t>
            </w:r>
          </w:p>
          <w:p w:rsidR="00000000" w:rsidRPr="00DE35A0" w:rsidP="00DE35A0">
            <w:pPr>
              <w:pStyle w:val="ListBullet2"/>
            </w:pPr>
            <w:r w:rsidRPr="00DE35A0">
              <w:t>when, where and how risk a</w:t>
            </w:r>
            <w:r w:rsidRPr="00DE35A0">
              <w:t>ssessments must be conducted</w:t>
            </w:r>
          </w:p>
          <w:p w:rsidR="00000000" w:rsidRPr="00DE35A0" w:rsidP="00DE35A0">
            <w:pPr>
              <w:pStyle w:val="ListBullet2"/>
            </w:pPr>
            <w:r w:rsidRPr="00DE35A0">
              <w:t>incorporating appropriate consultation into hazard identification and risk assessment process</w:t>
            </w:r>
          </w:p>
          <w:p w:rsidR="00000000" w:rsidRPr="00DE35A0" w:rsidP="00DE35A0">
            <w:pPr>
              <w:pStyle w:val="ListBullet2"/>
            </w:pPr>
            <w:r w:rsidRPr="00DE35A0">
              <w:t xml:space="preserve">record keeping. </w:t>
            </w:r>
          </w:p>
        </w:tc>
      </w:tr>
    </w:tbl>
    <w:p w:rsidR="000B0E66" w:rsidP="00DE35A0">
      <w:pPr>
        <w:pStyle w:val="BodyText"/>
      </w:pPr>
    </w:p>
    <w:p w:rsidR="000B0E66" w:rsidP="00DE35A0">
      <w:pPr>
        <w:pStyle w:val="BodyText"/>
      </w:pPr>
    </w:p>
    <w:p w:rsidR="00000000" w:rsidRPr="00DE35A0" w:rsidP="00DE35A0">
      <w:pPr>
        <w:pStyle w:val="Heading1"/>
      </w:pPr>
      <w:bookmarkStart w:id="10" w:name="O_137220"/>
      <w:bookmarkEnd w:id="10"/>
      <w:r w:rsidRPr="00DE35A0">
        <w:t>Evidence Guide</w:t>
      </w:r>
    </w:p>
    <w:tbl>
      <w:tblPr>
        <w:tblW w:w="0" w:type="auto"/>
        <w:tblLayout w:type="fixed"/>
        <w:tblCellMar>
          <w:left w:w="62" w:type="dxa"/>
          <w:right w:w="62" w:type="dxa"/>
        </w:tblCellMar>
        <w:tblLook w:val="0000"/>
      </w:tblPr>
      <w:tblGrid>
        <w:gridCol w:w="3345"/>
        <w:gridCol w:w="5835"/>
      </w:tblGrid>
      <w:tr w:rsidTr="000B0E6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rPr>
                <w:rStyle w:val="SpecialBold"/>
              </w:rPr>
              <w:t>EVIDENCE GUIDE</w:t>
            </w:r>
          </w:p>
        </w:tc>
      </w:tr>
      <w:tr w:rsidTr="000B0E6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t>The evidence guide provides advice on assessment and must be read in conjunction with the performance criteria, required skills and knowledge, range statement and the Assessment Guidelines for the Training Package.</w:t>
            </w:r>
          </w:p>
        </w:tc>
      </w:tr>
      <w:tr w:rsidTr="000B0E6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E35A0">
            <w:pPr>
              <w:pStyle w:val="BodyText"/>
              <w:rPr>
                <w:lang w:val="en-NZ"/>
              </w:rPr>
            </w:pPr>
          </w:p>
        </w:tc>
      </w:tr>
      <w:tr w:rsidTr="000B0E6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rPr>
                <w:rStyle w:val="SpecialBold"/>
              </w:rPr>
              <w:t xml:space="preserve">Critical aspects for assessment and </w:t>
            </w:r>
            <w:r w:rsidRPr="00DE35A0">
              <w:rPr>
                <w:rStyle w:val="SpecialBold"/>
              </w:rPr>
              <w:t xml:space="preserve">evidence required to demonstrate competency in </w:t>
            </w:r>
            <w:r w:rsidRPr="00DE35A0">
              <w:rPr>
                <w:rStyle w:val="SpecialBold"/>
              </w:rPr>
              <w:t>this unit</w:t>
            </w:r>
          </w:p>
        </w:tc>
        <w:tc>
          <w:tcPr>
            <w:tcW w:w="5835" w:type="dxa"/>
            <w:tcBorders>
              <w:top w:val="nil"/>
              <w:left w:val="nil"/>
              <w:bottom w:val="nil"/>
              <w:right w:val="nil"/>
            </w:tcBorders>
            <w:tcMar>
              <w:top w:w="0" w:type="dxa"/>
              <w:left w:w="62" w:type="dxa"/>
              <w:bottom w:w="0" w:type="dxa"/>
              <w:right w:w="62" w:type="dxa"/>
            </w:tcMar>
          </w:tcPr>
          <w:p w:rsidR="00000000" w:rsidRPr="00DE35A0" w:rsidP="00DE35A0">
            <w:pPr>
              <w:pStyle w:val="BodyText"/>
            </w:pPr>
            <w:r w:rsidRPr="00DE35A0">
              <w:t>Evidence of the following is essential:</w:t>
            </w:r>
          </w:p>
          <w:p w:rsidR="00000000" w:rsidRPr="00DE35A0" w:rsidP="00DE35A0">
            <w:pPr>
              <w:pStyle w:val="ListBullet"/>
            </w:pPr>
            <w:r w:rsidRPr="00DE35A0">
              <w:t xml:space="preserve">project or work activities that show the candidate's ability to identify confined space workplace hazards, </w:t>
            </w:r>
            <w:r w:rsidRPr="00DE35A0">
              <w:t xml:space="preserve">and assess and </w:t>
            </w:r>
            <w:r w:rsidRPr="00DE35A0">
              <w:t>control safety risks for a cemetery or crematorium  operation and in line with regulatory requirements</w:t>
            </w:r>
          </w:p>
          <w:p w:rsidR="00000000" w:rsidRPr="00DE35A0" w:rsidP="00DE35A0">
            <w:pPr>
              <w:pStyle w:val="ListBullet"/>
            </w:pPr>
            <w:r w:rsidRPr="00DE35A0">
              <w:t>knowledge of OHS legislation requirements for hazard identification, and risk assessment and control</w:t>
            </w:r>
          </w:p>
          <w:p w:rsidR="00000000" w:rsidP="00DE35A0">
            <w:pPr>
              <w:pStyle w:val="ListBullet"/>
              <w:rPr>
                <w:lang w:val="en-NZ"/>
              </w:rPr>
            </w:pPr>
            <w:r w:rsidRPr="00DE35A0">
              <w:t>identifying hazards and assessing risks in a cemeter</w:t>
            </w:r>
            <w:r w:rsidRPr="00DE35A0">
              <w:t>y or crematorium on multiple occasions to ensure consistency of performance and ability to respond to different situations.</w:t>
            </w:r>
          </w:p>
        </w:tc>
      </w:tr>
      <w:tr w:rsidTr="000B0E6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p>
        </w:tc>
      </w:tr>
      <w:tr w:rsidTr="000B0E6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DE35A0" w:rsidP="00DE35A0">
            <w:pPr>
              <w:pStyle w:val="BodyText"/>
            </w:pPr>
            <w:r w:rsidRPr="00DE35A0">
              <w:t>Assessment must ensure:</w:t>
            </w:r>
          </w:p>
          <w:p w:rsidR="00000000" w:rsidRPr="00DE35A0" w:rsidP="00DE35A0">
            <w:pPr>
              <w:pStyle w:val="ListBullet"/>
            </w:pPr>
            <w:r w:rsidRPr="00DE35A0">
              <w:t>demonstration of skills in a cemetery or crematorium op</w:t>
            </w:r>
            <w:r w:rsidRPr="00DE35A0">
              <w:t>eration for which hazard identification and risk assessment can be undertaken</w:t>
            </w:r>
          </w:p>
          <w:p w:rsidR="00000000" w:rsidP="00DE35A0">
            <w:pPr>
              <w:pStyle w:val="ListBullet"/>
              <w:rPr>
                <w:lang w:val="en-NZ"/>
              </w:rPr>
            </w:pPr>
            <w:r w:rsidRPr="00DE35A0">
              <w:t>access to current organisational policies and procedures, and hazard identification and risk assessment template documents.</w:t>
            </w:r>
          </w:p>
        </w:tc>
      </w:tr>
      <w:tr w:rsidTr="000B0E6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p>
        </w:tc>
      </w:tr>
      <w:tr w:rsidTr="000B0E6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E35A0" w:rsidP="00DE35A0">
            <w:pPr>
              <w:pStyle w:val="BodyText"/>
            </w:pPr>
            <w:r w:rsidRPr="00DE35A0">
              <w:t>A range of assessment method</w:t>
            </w:r>
            <w:r w:rsidRPr="00DE35A0">
              <w:t xml:space="preserve">s should be used to assess practical skills and knowledge. The following examples are appropriate for this unit: </w:t>
            </w:r>
          </w:p>
          <w:p w:rsidR="00000000" w:rsidRPr="00DE35A0" w:rsidP="00DE35A0">
            <w:pPr>
              <w:pStyle w:val="ListBullet"/>
            </w:pPr>
            <w:r w:rsidRPr="00DE35A0">
              <w:t xml:space="preserve">observation of candidate completing risk assessment processes and procedures </w:t>
            </w:r>
          </w:p>
          <w:p w:rsidR="00000000" w:rsidRPr="00DE35A0" w:rsidP="00DE35A0">
            <w:pPr>
              <w:pStyle w:val="ListBullet"/>
            </w:pPr>
            <w:r w:rsidRPr="00DE35A0">
              <w:t>written or verbal questioning to assess required knowledge and s</w:t>
            </w:r>
            <w:r w:rsidRPr="00DE35A0">
              <w:t xml:space="preserve">kills </w:t>
            </w:r>
          </w:p>
          <w:p w:rsidR="00000000" w:rsidRPr="00DE35A0" w:rsidP="00DE35A0">
            <w:pPr>
              <w:pStyle w:val="ListBullet"/>
            </w:pPr>
            <w:r w:rsidRPr="00DE35A0">
              <w:t>inspection of the final product or outcome</w:t>
            </w:r>
          </w:p>
          <w:p w:rsidR="00000000" w:rsidRPr="00DE35A0" w:rsidP="00DE35A0">
            <w:pPr>
              <w:pStyle w:val="ListBullet"/>
            </w:pPr>
            <w:r w:rsidRPr="00DE35A0">
              <w:t>scenario analysis</w:t>
            </w:r>
          </w:p>
          <w:p w:rsidR="00000000" w:rsidRPr="00DE35A0" w:rsidP="00DE35A0">
            <w:pPr>
              <w:pStyle w:val="ListBullet"/>
            </w:pPr>
            <w:r w:rsidRPr="00DE35A0">
              <w:t>review of portfolios of evidence and third-party workplace reports of on-the-job performance by the candidate.</w:t>
            </w:r>
          </w:p>
          <w:p w:rsidR="00000000" w:rsidP="00DE35A0">
            <w:pPr>
              <w:pStyle w:val="BodyText"/>
              <w:rPr>
                <w:lang w:val="en-NZ"/>
              </w:rPr>
            </w:pPr>
            <w:r w:rsidRPr="00DE35A0">
              <w:t>Holistic assessment with other units relevant to the industry sector, workplace and job role is recommended.</w:t>
            </w:r>
          </w:p>
        </w:tc>
      </w:tr>
      <w:tr w:rsidTr="000B0E6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DE35A0" w:rsidP="00DE35A0">
            <w:pPr>
              <w:pStyle w:val="BodyText"/>
            </w:pPr>
            <w:r w:rsidRPr="00DE35A0">
              <w:t xml:space="preserve">Employability skills embedded in this unit should be assessed holistically with other relevant units that make up the skill set or qualification </w:t>
            </w:r>
            <w:r w:rsidRPr="00DE35A0">
              <w:t>and in the context of the job role.</w:t>
            </w:r>
          </w:p>
        </w:tc>
      </w:tr>
    </w:tbl>
    <w:p w:rsidR="000B0E66" w:rsidP="00DE35A0">
      <w:pPr>
        <w:pStyle w:val="BodyText"/>
      </w:pPr>
    </w:p>
    <w:p w:rsidR="000B0E66" w:rsidP="00DE35A0">
      <w:pPr>
        <w:pStyle w:val="BodyText"/>
      </w:pPr>
    </w:p>
    <w:p w:rsidR="00000000" w:rsidRPr="00DE35A0" w:rsidP="00DE35A0">
      <w:pPr>
        <w:pStyle w:val="Heading1"/>
      </w:pPr>
      <w:bookmarkStart w:id="11" w:name="O_137221"/>
      <w:bookmarkEnd w:id="11"/>
      <w:r w:rsidRPr="00DE35A0">
        <w:t>Range Statement</w:t>
      </w:r>
    </w:p>
    <w:tbl>
      <w:tblPr>
        <w:tblW w:w="0" w:type="auto"/>
        <w:tblLayout w:type="fixed"/>
        <w:tblCellMar>
          <w:left w:w="62" w:type="dxa"/>
          <w:right w:w="62" w:type="dxa"/>
        </w:tblCellMar>
        <w:tblLook w:val="0000"/>
      </w:tblPr>
      <w:tblGrid>
        <w:gridCol w:w="3345"/>
        <w:gridCol w:w="5835"/>
      </w:tblGrid>
      <w:tr w:rsidTr="000B0E6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rPr>
                <w:rStyle w:val="SpecialBold"/>
              </w:rPr>
              <w:t>RANGE STATEMENT</w:t>
            </w:r>
          </w:p>
        </w:tc>
      </w:tr>
      <w:tr w:rsidTr="000B0E6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t xml:space="preserve">The range statement relates to the unit of competency as a whole. It allows for different work environments and situations that may affect </w:t>
            </w:r>
            <w:r w:rsidRPr="00DE35A0">
              <w:t>performance. Bold italicised wording, if used in the performance criteria, is detailed below. Essential operating conditions that may be present with training and assessment (depending on the work situation, needs of the candidate, accessibility of the ite</w:t>
            </w:r>
            <w:r w:rsidRPr="00DE35A0">
              <w:t>m, and local industry and regional contexts) may also be included.</w:t>
            </w:r>
          </w:p>
        </w:tc>
      </w:tr>
      <w:tr w:rsidTr="000B0E6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E35A0">
            <w:pPr>
              <w:pStyle w:val="BodyText"/>
              <w:rPr>
                <w:lang w:val="en-NZ"/>
              </w:rPr>
            </w:pPr>
          </w:p>
        </w:tc>
      </w:tr>
      <w:tr w:rsidTr="000B0E6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rPr>
                <w:rStyle w:val="BoldandItalics"/>
              </w:rPr>
              <w:t>Risk assessment</w:t>
            </w:r>
            <w:r w:rsidRPr="00DE35A0">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DE35A0" w:rsidP="00DE35A0">
            <w:pPr>
              <w:pStyle w:val="ListBullet"/>
            </w:pPr>
            <w:r w:rsidRPr="00DE35A0">
              <w:t>location of work</w:t>
            </w:r>
          </w:p>
          <w:p w:rsidR="00000000" w:rsidRPr="00DE35A0" w:rsidP="00DE35A0">
            <w:pPr>
              <w:pStyle w:val="ListBullet"/>
            </w:pPr>
            <w:r w:rsidRPr="00DE35A0">
              <w:t xml:space="preserve">duration of work </w:t>
            </w:r>
          </w:p>
          <w:p w:rsidR="00000000" w:rsidRPr="00DE35A0" w:rsidP="00DE35A0">
            <w:pPr>
              <w:pStyle w:val="ListBullet"/>
            </w:pPr>
            <w:r w:rsidRPr="00DE35A0">
              <w:t>soil type</w:t>
            </w:r>
          </w:p>
          <w:p w:rsidR="00000000" w:rsidRPr="00DE35A0" w:rsidP="00DE35A0">
            <w:pPr>
              <w:pStyle w:val="ListBullet"/>
            </w:pPr>
            <w:r w:rsidRPr="00DE35A0">
              <w:t xml:space="preserve">shoring requirements </w:t>
            </w:r>
          </w:p>
          <w:p w:rsidR="00000000" w:rsidRPr="00DE35A0" w:rsidP="00DE35A0">
            <w:pPr>
              <w:pStyle w:val="ListBullet"/>
            </w:pPr>
            <w:r w:rsidRPr="00DE35A0">
              <w:t>size of work crew</w:t>
            </w:r>
          </w:p>
          <w:p w:rsidR="00000000" w:rsidRPr="00DE35A0" w:rsidP="00DE35A0">
            <w:pPr>
              <w:pStyle w:val="ListBullet"/>
            </w:pPr>
            <w:r w:rsidRPr="00DE35A0">
              <w:t xml:space="preserve">contractor or employee work crew </w:t>
            </w:r>
          </w:p>
          <w:p w:rsidR="00000000" w:rsidRPr="00DE35A0" w:rsidP="00DE35A0">
            <w:pPr>
              <w:pStyle w:val="ListBullet"/>
            </w:pPr>
            <w:r w:rsidRPr="00DE35A0">
              <w:t xml:space="preserve">funeral director, if relevant </w:t>
            </w:r>
          </w:p>
          <w:p w:rsidR="00000000" w:rsidRPr="00DE35A0" w:rsidP="00DE35A0">
            <w:pPr>
              <w:pStyle w:val="ListBullet"/>
            </w:pPr>
            <w:r w:rsidRPr="00DE35A0">
              <w:t>size, depth, dimensions, age and type of grave</w:t>
            </w:r>
          </w:p>
          <w:p w:rsidR="00000000" w:rsidRPr="00DE35A0" w:rsidP="00DE35A0">
            <w:pPr>
              <w:pStyle w:val="ListBullet"/>
            </w:pPr>
            <w:r w:rsidRPr="00DE35A0">
              <w:t>size, depth and dimensions of tomb, crypt, vault or furnace</w:t>
            </w:r>
          </w:p>
          <w:p w:rsidR="00000000" w:rsidRPr="00DE35A0" w:rsidP="00DE35A0">
            <w:pPr>
              <w:pStyle w:val="ListBullet"/>
            </w:pPr>
            <w:r w:rsidRPr="00DE35A0">
              <w:t>access to the confined space</w:t>
            </w:r>
          </w:p>
          <w:p w:rsidR="00000000" w:rsidRPr="00DE35A0" w:rsidP="00DE35A0">
            <w:pPr>
              <w:pStyle w:val="ListBullet"/>
            </w:pPr>
            <w:r w:rsidRPr="00DE35A0">
              <w:t>ground conditions, including adjacent graves, soil make-up and water table</w:t>
            </w:r>
          </w:p>
          <w:p w:rsidR="00000000" w:rsidRPr="00DE35A0" w:rsidP="00DE35A0">
            <w:pPr>
              <w:pStyle w:val="ListBullet"/>
            </w:pPr>
            <w:r w:rsidRPr="00DE35A0">
              <w:t xml:space="preserve">personnel qualifications </w:t>
            </w:r>
          </w:p>
          <w:p w:rsidR="00000000" w:rsidRPr="00DE35A0" w:rsidP="00DE35A0">
            <w:pPr>
              <w:pStyle w:val="ListBullet"/>
            </w:pPr>
            <w:r w:rsidRPr="00DE35A0">
              <w:t>terrain</w:t>
            </w:r>
          </w:p>
          <w:p w:rsidR="00000000" w:rsidRPr="00DE35A0" w:rsidP="00DE35A0">
            <w:pPr>
              <w:pStyle w:val="ListBullet"/>
            </w:pPr>
            <w:r w:rsidRPr="00DE35A0">
              <w:t>weather</w:t>
            </w:r>
          </w:p>
          <w:p w:rsidR="00000000" w:rsidRPr="00DE35A0" w:rsidP="00DE35A0">
            <w:pPr>
              <w:pStyle w:val="ListBullet"/>
            </w:pPr>
            <w:r w:rsidRPr="00DE35A0">
              <w:t>pos</w:t>
            </w:r>
            <w:r w:rsidRPr="00DE35A0">
              <w:t>sible coffin weight and materials</w:t>
            </w:r>
          </w:p>
          <w:p w:rsidR="00000000" w:rsidRPr="00DE35A0" w:rsidP="00DE35A0">
            <w:pPr>
              <w:pStyle w:val="ListBullet"/>
            </w:pPr>
            <w:r w:rsidRPr="00DE35A0">
              <w:t>expected degree of embalming</w:t>
            </w:r>
          </w:p>
          <w:p w:rsidR="00000000" w:rsidRPr="00DE35A0" w:rsidP="00DE35A0">
            <w:pPr>
              <w:pStyle w:val="ListBullet"/>
            </w:pPr>
            <w:r w:rsidRPr="00DE35A0">
              <w:t>machinery</w:t>
            </w:r>
          </w:p>
          <w:p w:rsidR="00000000" w:rsidRPr="00DE35A0" w:rsidP="00DE35A0">
            <w:pPr>
              <w:pStyle w:val="ListBullet"/>
            </w:pPr>
            <w:r w:rsidRPr="00DE35A0">
              <w:t>presence of monuments and their stability</w:t>
            </w:r>
          </w:p>
          <w:p w:rsidR="00000000" w:rsidRPr="00DE35A0" w:rsidP="00DE35A0">
            <w:pPr>
              <w:pStyle w:val="ListBullet"/>
            </w:pPr>
            <w:r w:rsidRPr="00DE35A0">
              <w:t xml:space="preserve">atmospheric test requirements </w:t>
            </w:r>
          </w:p>
          <w:p w:rsidR="00000000" w:rsidRPr="00DE35A0" w:rsidP="00DE35A0">
            <w:pPr>
              <w:pStyle w:val="ListBullet"/>
            </w:pPr>
            <w:r w:rsidRPr="00DE35A0">
              <w:t xml:space="preserve">hot work as required </w:t>
            </w:r>
          </w:p>
          <w:p w:rsidR="00000000" w:rsidRPr="00DE35A0" w:rsidP="00DE35A0">
            <w:pPr>
              <w:pStyle w:val="ListBullet"/>
            </w:pPr>
            <w:r w:rsidRPr="00DE35A0">
              <w:t>reason for death</w:t>
            </w:r>
          </w:p>
          <w:p w:rsidR="00000000" w:rsidP="00DE35A0">
            <w:pPr>
              <w:pStyle w:val="ListBullet"/>
              <w:rPr>
                <w:lang w:val="en-NZ"/>
              </w:rPr>
            </w:pPr>
            <w:r w:rsidRPr="00DE35A0">
              <w:t>time since burial.</w:t>
            </w:r>
          </w:p>
        </w:tc>
      </w:tr>
      <w:tr w:rsidTr="000B0E6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p>
        </w:tc>
      </w:tr>
      <w:tr w:rsidTr="000B0E6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rPr>
                <w:rStyle w:val="BoldandItalics"/>
              </w:rPr>
              <w:t>Potential hazards</w:t>
            </w:r>
            <w:r w:rsidRPr="00DE35A0">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DE35A0" w:rsidP="00DE35A0">
            <w:pPr>
              <w:pStyle w:val="ListBullet"/>
            </w:pPr>
            <w:r w:rsidRPr="00DE35A0">
              <w:t>source of potential harm</w:t>
            </w:r>
          </w:p>
          <w:p w:rsidR="00000000" w:rsidP="00DE35A0">
            <w:pPr>
              <w:pStyle w:val="ListBullet"/>
              <w:rPr>
                <w:lang w:val="en-NZ"/>
              </w:rPr>
            </w:pPr>
            <w:r w:rsidRPr="00DE35A0">
              <w:t>situation with a potential to cause loss.</w:t>
            </w:r>
          </w:p>
        </w:tc>
      </w:tr>
      <w:tr w:rsidTr="000B0E6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p>
        </w:tc>
      </w:tr>
      <w:tr w:rsidTr="000B0E6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rPr>
                <w:rStyle w:val="BoldandItalics"/>
              </w:rPr>
              <w:t>Consequence</w:t>
            </w:r>
            <w:r w:rsidRPr="00DE35A0">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P="00DE35A0">
            <w:pPr>
              <w:pStyle w:val="ListBullet"/>
              <w:rPr>
                <w:lang w:val="en-NZ"/>
              </w:rPr>
            </w:pPr>
            <w:r w:rsidRPr="00DE35A0">
              <w:t>outcome of an event or situation expressed qualitatively or quantitatively, being a loss, injury, disadvantage or gain.</w:t>
            </w:r>
          </w:p>
        </w:tc>
      </w:tr>
      <w:tr w:rsidTr="000B0E6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p>
        </w:tc>
      </w:tr>
      <w:tr w:rsidTr="000B0E6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rPr>
                <w:rStyle w:val="BoldandItalics"/>
              </w:rPr>
              <w:t>Likelihood</w:t>
            </w:r>
            <w:r w:rsidRPr="00DE35A0">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DE35A0" w:rsidP="00DE35A0">
            <w:pPr>
              <w:pStyle w:val="ListBullet"/>
            </w:pPr>
            <w:r w:rsidRPr="00DE35A0">
              <w:t>qualitativ</w:t>
            </w:r>
            <w:r w:rsidRPr="00DE35A0">
              <w:t>e description of probability</w:t>
            </w:r>
          </w:p>
          <w:p w:rsidR="00000000" w:rsidRPr="00DE35A0" w:rsidP="00DE35A0">
            <w:pPr>
              <w:pStyle w:val="ListBullet"/>
            </w:pPr>
            <w:r w:rsidRPr="00DE35A0">
              <w:t xml:space="preserve">frequency </w:t>
            </w:r>
          </w:p>
          <w:p w:rsidR="00000000" w:rsidP="00DE35A0">
            <w:pPr>
              <w:pStyle w:val="ListBullet"/>
              <w:rPr>
                <w:lang w:val="en-NZ"/>
              </w:rPr>
            </w:pPr>
            <w:r w:rsidRPr="00DE35A0">
              <w:t>measure of likelihood expressed as the number of occurrences of an event in a given time.</w:t>
            </w:r>
          </w:p>
        </w:tc>
      </w:tr>
      <w:tr w:rsidTr="000B0E6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p>
        </w:tc>
      </w:tr>
      <w:tr w:rsidTr="000B0E6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rPr>
                <w:rStyle w:val="BoldandItalics"/>
              </w:rPr>
              <w:t>Criteria for acceptability or unacceptability of the risk</w:t>
            </w:r>
            <w:r w:rsidRPr="00DE35A0">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P="00DE35A0">
            <w:pPr>
              <w:pStyle w:val="ListBullet"/>
              <w:rPr>
                <w:lang w:val="en-NZ"/>
              </w:rPr>
            </w:pPr>
            <w:r w:rsidRPr="00DE35A0">
              <w:t>determinations</w:t>
            </w:r>
            <w:r w:rsidRPr="00DE35A0">
              <w:t xml:space="preserve"> made by organisation's internal policy, goals and objectives with reference to relevant legislation.</w:t>
            </w:r>
          </w:p>
        </w:tc>
      </w:tr>
      <w:tr w:rsidTr="000B0E6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p>
        </w:tc>
      </w:tr>
      <w:tr w:rsidTr="000B0E6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rPr>
                <w:rStyle w:val="BoldandItalics"/>
              </w:rPr>
              <w:t>Characteristics</w:t>
            </w:r>
            <w:r w:rsidRPr="00DE35A0">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DE35A0" w:rsidP="00DE35A0">
            <w:pPr>
              <w:pStyle w:val="ListBullet"/>
            </w:pPr>
            <w:r w:rsidRPr="00DE35A0">
              <w:t>size and location of grave</w:t>
            </w:r>
          </w:p>
          <w:p w:rsidR="00000000" w:rsidRPr="00DE35A0" w:rsidP="00DE35A0">
            <w:pPr>
              <w:pStyle w:val="ListBullet"/>
            </w:pPr>
            <w:r w:rsidRPr="00DE35A0">
              <w:t xml:space="preserve">availability to access grave, crypt, vault or crematorium </w:t>
            </w:r>
          </w:p>
          <w:p w:rsidR="00000000" w:rsidRPr="00DE35A0" w:rsidP="00DE35A0">
            <w:pPr>
              <w:pStyle w:val="ListBullet"/>
            </w:pPr>
            <w:r w:rsidRPr="00DE35A0">
              <w:t xml:space="preserve">presence of hazardous substances, </w:t>
            </w:r>
            <w:r w:rsidRPr="00DE35A0">
              <w:t>such as hydrogen sulphide from decomposing matter or carbon monoxide from water bailing pumps</w:t>
            </w:r>
          </w:p>
          <w:p w:rsidR="00000000" w:rsidRPr="00DE35A0" w:rsidP="00DE35A0">
            <w:pPr>
              <w:pStyle w:val="ListBullet"/>
            </w:pPr>
            <w:r w:rsidRPr="00DE35A0">
              <w:t>presence of flammable contaminants generated by methane of decomposing matter</w:t>
            </w:r>
          </w:p>
          <w:p w:rsidR="00000000" w:rsidRPr="00DE35A0" w:rsidP="00DE35A0">
            <w:pPr>
              <w:pStyle w:val="ListBullet"/>
            </w:pPr>
            <w:r w:rsidRPr="00DE35A0">
              <w:t xml:space="preserve">presence of unsafe oxygen levels associated with sealed coffins, crypt and graves </w:t>
            </w:r>
          </w:p>
          <w:p w:rsidR="00000000" w:rsidRPr="00DE35A0" w:rsidP="00DE35A0">
            <w:pPr>
              <w:pStyle w:val="ListBullet"/>
            </w:pPr>
            <w:r w:rsidRPr="00DE35A0">
              <w:t>p</w:t>
            </w:r>
            <w:r w:rsidRPr="00DE35A0">
              <w:t xml:space="preserve">resence of materials that may result in engulfment through cave in </w:t>
            </w:r>
          </w:p>
          <w:p w:rsidR="00000000" w:rsidRPr="00DE35A0" w:rsidP="00DE35A0">
            <w:pPr>
              <w:pStyle w:val="ListBullet"/>
            </w:pPr>
            <w:r w:rsidRPr="00DE35A0">
              <w:t>mechanical hazards, such as backhoes or conveyors</w:t>
            </w:r>
          </w:p>
          <w:p w:rsidR="00000000" w:rsidRPr="00DE35A0" w:rsidP="00DE35A0">
            <w:pPr>
              <w:pStyle w:val="ListBullet"/>
            </w:pPr>
            <w:r w:rsidRPr="00DE35A0">
              <w:t xml:space="preserve">objects falling into the space, such as monuments or soil and rocks </w:t>
            </w:r>
          </w:p>
          <w:p w:rsidR="00000000" w:rsidRPr="00DE35A0" w:rsidP="00DE35A0">
            <w:pPr>
              <w:pStyle w:val="ListBullet"/>
            </w:pPr>
            <w:r w:rsidRPr="00DE35A0">
              <w:t>ignition hazards, such as:</w:t>
            </w:r>
          </w:p>
          <w:p w:rsidR="00000000" w:rsidRPr="00DE35A0" w:rsidP="00DE35A0">
            <w:pPr>
              <w:pStyle w:val="ListBullet2"/>
            </w:pPr>
            <w:r w:rsidRPr="00DE35A0">
              <w:t>sources of heat</w:t>
            </w:r>
          </w:p>
          <w:p w:rsidR="00000000" w:rsidRPr="00DE35A0" w:rsidP="00DE35A0">
            <w:pPr>
              <w:pStyle w:val="ListBullet2"/>
            </w:pPr>
            <w:r w:rsidRPr="00DE35A0">
              <w:t>static or friction</w:t>
            </w:r>
          </w:p>
          <w:p w:rsidR="00000000" w:rsidRPr="00DE35A0" w:rsidP="00DE35A0">
            <w:pPr>
              <w:pStyle w:val="ListBullet2"/>
            </w:pPr>
            <w:r w:rsidRPr="00DE35A0">
              <w:t>plant and equipment that pose risks, such as welding, cutting or electronic equipment</w:t>
            </w:r>
          </w:p>
          <w:p w:rsidR="00000000" w:rsidRPr="00DE35A0" w:rsidP="00DE35A0">
            <w:pPr>
              <w:pStyle w:val="ListBullet2"/>
            </w:pPr>
            <w:r w:rsidRPr="00DE35A0">
              <w:t xml:space="preserve">activities, such as grinding, chipping and sandblasting </w:t>
            </w:r>
          </w:p>
          <w:p w:rsidR="00000000" w:rsidRPr="00DE35A0" w:rsidP="00DE35A0">
            <w:pPr>
              <w:pStyle w:val="ListBullet"/>
            </w:pPr>
            <w:r w:rsidRPr="00DE35A0">
              <w:t>electrical hazards</w:t>
            </w:r>
          </w:p>
          <w:p w:rsidR="00000000" w:rsidRPr="00DE35A0" w:rsidP="00DE35A0">
            <w:pPr>
              <w:pStyle w:val="ListBullet"/>
            </w:pPr>
            <w:r w:rsidRPr="00DE35A0">
              <w:t>poor ventilation</w:t>
            </w:r>
          </w:p>
          <w:p w:rsidR="00000000" w:rsidRPr="00DE35A0" w:rsidP="00DE35A0">
            <w:pPr>
              <w:pStyle w:val="ListBullet"/>
            </w:pPr>
            <w:r w:rsidRPr="00DE35A0">
              <w:t>environmental hazards, such as:</w:t>
            </w:r>
          </w:p>
          <w:p w:rsidR="00000000" w:rsidRPr="00DE35A0" w:rsidP="00DE35A0">
            <w:pPr>
              <w:pStyle w:val="ListBullet2"/>
            </w:pPr>
            <w:r w:rsidRPr="00DE35A0">
              <w:t>water levels</w:t>
            </w:r>
          </w:p>
          <w:p w:rsidR="00000000" w:rsidRPr="00DE35A0" w:rsidP="00DE35A0">
            <w:pPr>
              <w:pStyle w:val="ListBullet2"/>
            </w:pPr>
            <w:r w:rsidRPr="00DE35A0">
              <w:t>seepage from neighbouring grave</w:t>
            </w:r>
            <w:r w:rsidRPr="00DE35A0">
              <w:t>sites</w:t>
            </w:r>
          </w:p>
          <w:p w:rsidR="00000000" w:rsidRPr="00DE35A0" w:rsidP="00DE35A0">
            <w:pPr>
              <w:pStyle w:val="ListBullet2"/>
            </w:pPr>
            <w:r w:rsidRPr="00DE35A0">
              <w:t>high water tables</w:t>
            </w:r>
          </w:p>
          <w:p w:rsidR="00000000" w:rsidRPr="00DE35A0" w:rsidP="00DE35A0">
            <w:pPr>
              <w:pStyle w:val="ListBullet2"/>
            </w:pPr>
            <w:r w:rsidRPr="00DE35A0">
              <w:t>non-compacted soil</w:t>
            </w:r>
          </w:p>
          <w:p w:rsidR="00000000" w:rsidRPr="00DE35A0" w:rsidP="00DE35A0">
            <w:pPr>
              <w:pStyle w:val="ListBullet"/>
            </w:pPr>
            <w:r w:rsidRPr="00DE35A0">
              <w:t>biological hazards, such as:</w:t>
            </w:r>
          </w:p>
          <w:p w:rsidR="00000000" w:rsidRPr="00DE35A0" w:rsidP="00DE35A0">
            <w:pPr>
              <w:pStyle w:val="ListBullet2"/>
            </w:pPr>
            <w:r w:rsidRPr="00DE35A0">
              <w:t>viruses and bacteria</w:t>
            </w:r>
          </w:p>
          <w:p w:rsidR="00000000" w:rsidRPr="00DE35A0" w:rsidP="00DE35A0">
            <w:pPr>
              <w:pStyle w:val="ListBullet2"/>
            </w:pPr>
            <w:r w:rsidRPr="00DE35A0">
              <w:t>microbes and pathogens carried in the water or decomposing tissue</w:t>
            </w:r>
          </w:p>
          <w:p w:rsidR="00000000" w:rsidP="00DE35A0">
            <w:pPr>
              <w:pStyle w:val="ListBullet2"/>
              <w:rPr>
                <w:lang w:val="en-NZ"/>
              </w:rPr>
            </w:pPr>
            <w:r w:rsidRPr="00DE35A0">
              <w:t>insects, snakes and vermin.</w:t>
            </w:r>
          </w:p>
        </w:tc>
      </w:tr>
      <w:tr w:rsidTr="000B0E6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p>
        </w:tc>
      </w:tr>
      <w:tr w:rsidTr="000B0E6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rPr>
                <w:rStyle w:val="BoldandItalics"/>
              </w:rPr>
              <w:t>Confined space hazards in the workplace</w:t>
            </w:r>
            <w:r w:rsidRPr="00DE35A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E35A0" w:rsidP="00DE35A0">
            <w:pPr>
              <w:pStyle w:val="ListBullet"/>
            </w:pPr>
            <w:r w:rsidRPr="00DE35A0">
              <w:t>enclosed or partially enclosed space that is at atmospheric pressure during occupancy and is not intended or designed primarily as a place of work, and could have restricted means for entry and exit or may at any time:</w:t>
            </w:r>
          </w:p>
          <w:p w:rsidR="00000000" w:rsidRPr="00DE35A0" w:rsidP="00DE35A0">
            <w:pPr>
              <w:pStyle w:val="ListBullet2"/>
            </w:pPr>
            <w:r w:rsidRPr="00DE35A0">
              <w:t>have an atmosphere containing potent</w:t>
            </w:r>
            <w:r w:rsidRPr="00DE35A0">
              <w:t>ially harmful levels of contaminant</w:t>
            </w:r>
          </w:p>
          <w:p w:rsidR="00000000" w:rsidRPr="00DE35A0" w:rsidP="00DE35A0">
            <w:pPr>
              <w:pStyle w:val="ListBullet2"/>
            </w:pPr>
            <w:r w:rsidRPr="00DE35A0">
              <w:t>have an oxygen deficiency or excess</w:t>
            </w:r>
          </w:p>
          <w:p w:rsidR="00000000" w:rsidRPr="00DE35A0" w:rsidP="00DE35A0">
            <w:pPr>
              <w:pStyle w:val="ListBullet2"/>
            </w:pPr>
            <w:r w:rsidRPr="00DE35A0">
              <w:t>cause engulfment</w:t>
            </w:r>
          </w:p>
          <w:p w:rsidR="00000000" w:rsidRPr="00DE35A0" w:rsidP="00DE35A0">
            <w:pPr>
              <w:pStyle w:val="ListBullet"/>
            </w:pPr>
            <w:r w:rsidRPr="00DE35A0">
              <w:t>boiler furnace</w:t>
            </w:r>
          </w:p>
          <w:p w:rsidR="00000000" w:rsidRPr="00DE35A0" w:rsidP="00DE35A0">
            <w:pPr>
              <w:pStyle w:val="ListBullet"/>
            </w:pPr>
            <w:r w:rsidRPr="00DE35A0">
              <w:t>grave</w:t>
            </w:r>
          </w:p>
          <w:p w:rsidR="00000000" w:rsidRPr="00DE35A0" w:rsidP="00DE35A0">
            <w:pPr>
              <w:pStyle w:val="ListBullet"/>
            </w:pPr>
            <w:r w:rsidRPr="00DE35A0">
              <w:t xml:space="preserve">tank </w:t>
            </w:r>
          </w:p>
          <w:p w:rsidR="00000000" w:rsidRPr="00DE35A0" w:rsidP="00DE35A0">
            <w:pPr>
              <w:pStyle w:val="ListBullet"/>
            </w:pPr>
            <w:r w:rsidRPr="00DE35A0">
              <w:t xml:space="preserve">pit </w:t>
            </w:r>
          </w:p>
          <w:p w:rsidR="00000000" w:rsidRPr="00DE35A0" w:rsidP="00DE35A0">
            <w:pPr>
              <w:pStyle w:val="ListBullet"/>
            </w:pPr>
            <w:r w:rsidRPr="00DE35A0">
              <w:t xml:space="preserve">pipe </w:t>
            </w:r>
          </w:p>
          <w:p w:rsidR="00000000" w:rsidRPr="00DE35A0" w:rsidP="00DE35A0">
            <w:pPr>
              <w:pStyle w:val="ListBullet"/>
            </w:pPr>
            <w:r w:rsidRPr="00DE35A0">
              <w:t xml:space="preserve">container </w:t>
            </w:r>
          </w:p>
          <w:p w:rsidR="00000000" w:rsidRPr="00DE35A0" w:rsidP="00DE35A0">
            <w:pPr>
              <w:pStyle w:val="ListBullet"/>
            </w:pPr>
            <w:r w:rsidRPr="00DE35A0">
              <w:t>crypt</w:t>
            </w:r>
          </w:p>
          <w:p w:rsidR="00000000" w:rsidRPr="00DE35A0" w:rsidP="00DE35A0">
            <w:pPr>
              <w:pStyle w:val="ListBullet"/>
            </w:pPr>
            <w:r w:rsidRPr="00DE35A0">
              <w:t>vault</w:t>
            </w:r>
          </w:p>
          <w:p w:rsidR="00000000" w:rsidRPr="00DE35A0" w:rsidP="00DE35A0">
            <w:pPr>
              <w:pStyle w:val="ListBullet"/>
            </w:pPr>
            <w:r w:rsidRPr="00DE35A0">
              <w:t>duct</w:t>
            </w:r>
          </w:p>
          <w:p w:rsidR="00000000" w:rsidRPr="00DE35A0" w:rsidP="00DE35A0">
            <w:pPr>
              <w:pStyle w:val="ListBullet"/>
            </w:pPr>
            <w:r w:rsidRPr="00DE35A0">
              <w:t xml:space="preserve">well </w:t>
            </w:r>
          </w:p>
          <w:p w:rsidR="00000000" w:rsidP="00DE35A0">
            <w:pPr>
              <w:pStyle w:val="ListBullet"/>
              <w:rPr>
                <w:lang w:val="en-NZ"/>
              </w:rPr>
            </w:pPr>
            <w:r w:rsidRPr="00DE35A0">
              <w:t>contains or has contained (or made of or lined or coated with) substan</w:t>
            </w:r>
            <w:r w:rsidRPr="00DE35A0">
              <w:t>ces capable of reducing amount of oxygen present to a dangerous level.</w:t>
            </w:r>
          </w:p>
        </w:tc>
      </w:tr>
      <w:tr w:rsidTr="000B0E6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p>
        </w:tc>
      </w:tr>
      <w:tr w:rsidTr="000B0E6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rPr>
                <w:rStyle w:val="BoldandItalics"/>
              </w:rPr>
              <w:t>Risk treatment options</w:t>
            </w:r>
            <w:r w:rsidRPr="00DE35A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E35A0" w:rsidP="00DE35A0">
            <w:pPr>
              <w:pStyle w:val="ListBullet"/>
            </w:pPr>
            <w:r w:rsidRPr="00DE35A0">
              <w:t>eliminating hazard, such as not getting in the grave</w:t>
            </w:r>
          </w:p>
          <w:p w:rsidR="00000000" w:rsidRPr="00DE35A0" w:rsidP="00DE35A0">
            <w:pPr>
              <w:pStyle w:val="ListBullet"/>
            </w:pPr>
            <w:r w:rsidRPr="00DE35A0">
              <w:t>substitution, such as using another gravesite</w:t>
            </w:r>
          </w:p>
          <w:p w:rsidR="00000000" w:rsidRPr="00DE35A0" w:rsidP="00DE35A0">
            <w:pPr>
              <w:pStyle w:val="ListBullet"/>
            </w:pPr>
            <w:r w:rsidRPr="00DE35A0">
              <w:t xml:space="preserve">engineering controls, such as extraction fans </w:t>
            </w:r>
            <w:r w:rsidRPr="00DE35A0">
              <w:t>on vaults</w:t>
            </w:r>
          </w:p>
          <w:p w:rsidR="00000000" w:rsidRPr="00DE35A0" w:rsidP="00DE35A0">
            <w:pPr>
              <w:pStyle w:val="ListBullet"/>
            </w:pPr>
            <w:r w:rsidRPr="00DE35A0">
              <w:t>administrative controls or procedures, such as permits and risk assessments for confined space entry</w:t>
            </w:r>
          </w:p>
          <w:p w:rsidR="00000000" w:rsidRPr="00DE35A0" w:rsidP="00DE35A0">
            <w:pPr>
              <w:pStyle w:val="ListBullet"/>
            </w:pPr>
            <w:r w:rsidRPr="00DE35A0">
              <w:t>personal protective equipment, including:</w:t>
            </w:r>
          </w:p>
          <w:p w:rsidR="00000000" w:rsidRPr="00DE35A0" w:rsidP="00DE35A0">
            <w:pPr>
              <w:pStyle w:val="ListBullet2"/>
            </w:pPr>
            <w:r w:rsidRPr="00DE35A0">
              <w:t>breathing apparatus, self-contained breathing apparatus and canister mask</w:t>
            </w:r>
          </w:p>
          <w:p w:rsidR="00000000" w:rsidRPr="00DE35A0" w:rsidP="00DE35A0">
            <w:pPr>
              <w:pStyle w:val="ListBullet2"/>
            </w:pPr>
            <w:r w:rsidRPr="00DE35A0">
              <w:t>face shield</w:t>
            </w:r>
          </w:p>
          <w:p w:rsidR="00000000" w:rsidRPr="00DE35A0" w:rsidP="00DE35A0">
            <w:pPr>
              <w:pStyle w:val="ListBullet2"/>
            </w:pPr>
            <w:r w:rsidRPr="00DE35A0">
              <w:t>gloves</w:t>
            </w:r>
          </w:p>
          <w:p w:rsidR="00000000" w:rsidRPr="00DE35A0" w:rsidP="00DE35A0">
            <w:pPr>
              <w:pStyle w:val="ListBullet2"/>
            </w:pPr>
            <w:r w:rsidRPr="00DE35A0">
              <w:t>overalls and protective clothing</w:t>
            </w:r>
          </w:p>
          <w:p w:rsidR="00000000" w:rsidRPr="00DE35A0" w:rsidP="00DE35A0">
            <w:pPr>
              <w:pStyle w:val="ListBullet2"/>
            </w:pPr>
            <w:r w:rsidRPr="00DE35A0">
              <w:t>hard hat</w:t>
            </w:r>
          </w:p>
          <w:p w:rsidR="00000000" w:rsidRPr="00DE35A0" w:rsidP="00DE35A0">
            <w:pPr>
              <w:pStyle w:val="ListBullet2"/>
            </w:pPr>
            <w:r w:rsidRPr="00DE35A0">
              <w:t>face mask</w:t>
            </w:r>
          </w:p>
          <w:p w:rsidR="00000000" w:rsidRPr="00DE35A0" w:rsidP="00DE35A0">
            <w:pPr>
              <w:pStyle w:val="ListBullet2"/>
            </w:pPr>
            <w:r w:rsidRPr="00DE35A0">
              <w:t>eye protection</w:t>
            </w:r>
          </w:p>
          <w:p w:rsidR="00000000" w:rsidRPr="00DE35A0" w:rsidP="00DE35A0">
            <w:pPr>
              <w:pStyle w:val="ListBullet2"/>
            </w:pPr>
            <w:r w:rsidRPr="00DE35A0">
              <w:t>hearing protection shovels</w:t>
            </w:r>
          </w:p>
          <w:p w:rsidR="00000000" w:rsidRPr="00DE35A0" w:rsidP="00DE35A0">
            <w:pPr>
              <w:pStyle w:val="ListBullet2"/>
            </w:pPr>
            <w:r w:rsidRPr="00DE35A0">
              <w:t>boots or gumboots</w:t>
            </w:r>
          </w:p>
          <w:p w:rsidR="00000000" w:rsidRPr="00DE35A0" w:rsidP="00DE35A0">
            <w:pPr>
              <w:pStyle w:val="ListBullet"/>
            </w:pPr>
            <w:r w:rsidRPr="00DE35A0">
              <w:t>shoring requirements</w:t>
            </w:r>
          </w:p>
          <w:p w:rsidR="00000000" w:rsidRPr="00DE35A0" w:rsidP="00DE35A0">
            <w:pPr>
              <w:pStyle w:val="ListBullet"/>
            </w:pPr>
            <w:r w:rsidRPr="00DE35A0">
              <w:t xml:space="preserve">atmospheric test requirements </w:t>
            </w:r>
          </w:p>
          <w:p w:rsidR="00000000" w:rsidRPr="00DE35A0" w:rsidP="00DE35A0">
            <w:pPr>
              <w:pStyle w:val="ListBullet"/>
            </w:pPr>
            <w:r w:rsidRPr="00DE35A0">
              <w:t xml:space="preserve">mechanical and isolation requirements </w:t>
            </w:r>
          </w:p>
          <w:p w:rsidR="00000000" w:rsidRPr="00DE35A0" w:rsidP="00DE35A0">
            <w:pPr>
              <w:pStyle w:val="ListBullet"/>
            </w:pPr>
            <w:r w:rsidRPr="00DE35A0">
              <w:t>stand-by personnel and rescue arrangements, such as T</w:t>
            </w:r>
            <w:r w:rsidRPr="00DE35A0">
              <w:t>ripod or other means of effective rescue</w:t>
            </w:r>
          </w:p>
          <w:p w:rsidR="00000000" w:rsidRPr="00DE35A0" w:rsidP="00DE35A0">
            <w:pPr>
              <w:pStyle w:val="ListBullet"/>
            </w:pPr>
            <w:r w:rsidRPr="00DE35A0">
              <w:t xml:space="preserve">authorisation </w:t>
            </w:r>
          </w:p>
          <w:p w:rsidR="00000000" w:rsidRPr="00DE35A0" w:rsidP="00DE35A0">
            <w:pPr>
              <w:pStyle w:val="ListBullet"/>
            </w:pPr>
            <w:r w:rsidRPr="00DE35A0">
              <w:t>material safety data sheets (MSDS)</w:t>
            </w:r>
          </w:p>
          <w:p w:rsidR="00000000" w:rsidRPr="00DE35A0" w:rsidP="00DE35A0">
            <w:pPr>
              <w:pStyle w:val="ListBullet"/>
            </w:pPr>
            <w:r w:rsidRPr="00DE35A0">
              <w:t>analysis of decomposing matter and water in space</w:t>
            </w:r>
          </w:p>
          <w:p w:rsidR="00000000" w:rsidRPr="00DE35A0" w:rsidP="00DE35A0">
            <w:pPr>
              <w:pStyle w:val="ListBullet"/>
            </w:pPr>
            <w:r w:rsidRPr="00DE35A0">
              <w:t>fire extinguisher</w:t>
            </w:r>
          </w:p>
          <w:p w:rsidR="00000000" w:rsidRPr="00DE35A0" w:rsidP="00DE35A0">
            <w:pPr>
              <w:pStyle w:val="ListBullet"/>
            </w:pPr>
            <w:r w:rsidRPr="00DE35A0">
              <w:t>spill kit</w:t>
            </w:r>
          </w:p>
          <w:p w:rsidR="00000000" w:rsidRPr="00DE35A0" w:rsidP="00DE35A0">
            <w:pPr>
              <w:pStyle w:val="ListBullet"/>
            </w:pPr>
            <w:r w:rsidRPr="00DE35A0">
              <w:t>first aid kit</w:t>
            </w:r>
          </w:p>
          <w:p w:rsidR="00000000" w:rsidRPr="00DE35A0" w:rsidP="00DE35A0">
            <w:pPr>
              <w:pStyle w:val="ListBullet"/>
            </w:pPr>
            <w:r w:rsidRPr="00DE35A0">
              <w:t>eye wash kit</w:t>
            </w:r>
          </w:p>
          <w:p w:rsidR="00000000" w:rsidRPr="00DE35A0" w:rsidP="00DE35A0">
            <w:pPr>
              <w:pStyle w:val="ListBullet"/>
            </w:pPr>
            <w:r w:rsidRPr="00DE35A0">
              <w:t xml:space="preserve">communications equipment </w:t>
            </w:r>
          </w:p>
          <w:p w:rsidR="00000000" w:rsidRPr="00DE35A0" w:rsidP="00DE35A0">
            <w:pPr>
              <w:pStyle w:val="ListBullet"/>
            </w:pPr>
            <w:r w:rsidRPr="00DE35A0">
              <w:t>signage, such as:</w:t>
            </w:r>
          </w:p>
          <w:p w:rsidR="00000000" w:rsidRPr="00DE35A0" w:rsidP="00DE35A0">
            <w:pPr>
              <w:pStyle w:val="ListBullet2"/>
            </w:pPr>
            <w:r w:rsidRPr="00DE35A0">
              <w:t>site safety signage</w:t>
            </w:r>
          </w:p>
          <w:p w:rsidR="00000000" w:rsidRPr="00DE35A0" w:rsidP="00DE35A0">
            <w:pPr>
              <w:pStyle w:val="ListBullet2"/>
            </w:pPr>
            <w:r w:rsidRPr="00DE35A0">
              <w:t>temporary signage for motorists and pedestrians</w:t>
            </w:r>
          </w:p>
          <w:p w:rsidR="00000000" w:rsidRPr="00DE35A0" w:rsidP="00DE35A0">
            <w:pPr>
              <w:pStyle w:val="ListBullet2"/>
            </w:pPr>
            <w:r w:rsidRPr="00DE35A0">
              <w:t xml:space="preserve">barricades </w:t>
            </w:r>
          </w:p>
          <w:p w:rsidR="00000000" w:rsidP="00DE35A0">
            <w:pPr>
              <w:pStyle w:val="ListBullet"/>
              <w:rPr>
                <w:lang w:val="en-NZ"/>
              </w:rPr>
            </w:pPr>
            <w:r w:rsidRPr="00DE35A0">
              <w:t xml:space="preserve">fall and edge protection. </w:t>
            </w:r>
          </w:p>
        </w:tc>
      </w:tr>
      <w:tr w:rsidTr="000B0E6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p>
        </w:tc>
      </w:tr>
      <w:tr w:rsidTr="000B0E6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rPr>
                <w:rStyle w:val="BoldandItalics"/>
              </w:rPr>
              <w:t>Records and reports</w:t>
            </w:r>
            <w:r w:rsidRPr="00DE35A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E35A0" w:rsidP="00DE35A0">
            <w:pPr>
              <w:pStyle w:val="ListBullet"/>
            </w:pPr>
            <w:r w:rsidRPr="00DE35A0">
              <w:t xml:space="preserve">hazard reporting forms </w:t>
            </w:r>
          </w:p>
          <w:p w:rsidR="00000000" w:rsidRPr="00DE35A0" w:rsidP="00DE35A0">
            <w:pPr>
              <w:pStyle w:val="ListBullet"/>
            </w:pPr>
            <w:r w:rsidRPr="00DE35A0">
              <w:t xml:space="preserve">supervisor or team leader reports </w:t>
            </w:r>
          </w:p>
          <w:p w:rsidR="00000000" w:rsidRPr="00DE35A0" w:rsidP="00DE35A0">
            <w:pPr>
              <w:pStyle w:val="ListBullet"/>
            </w:pPr>
            <w:r w:rsidRPr="00DE35A0">
              <w:t xml:space="preserve">incident reports </w:t>
            </w:r>
          </w:p>
          <w:p w:rsidR="00000000" w:rsidRPr="00DE35A0" w:rsidP="00DE35A0">
            <w:pPr>
              <w:pStyle w:val="ListBullet"/>
            </w:pPr>
            <w:r w:rsidRPr="00DE35A0">
              <w:t xml:space="preserve">near-miss reports </w:t>
            </w:r>
          </w:p>
          <w:p w:rsidR="00000000" w:rsidRPr="00DE35A0" w:rsidP="00DE35A0">
            <w:pPr>
              <w:pStyle w:val="ListBullet"/>
            </w:pPr>
            <w:r w:rsidRPr="00DE35A0">
              <w:t>shift reports.</w:t>
            </w:r>
          </w:p>
        </w:tc>
      </w:tr>
    </w:tbl>
    <w:p w:rsidR="000B0E66" w:rsidP="00DE35A0">
      <w:pPr>
        <w:pStyle w:val="BodyText"/>
      </w:pPr>
    </w:p>
    <w:p w:rsidR="000B0E66" w:rsidP="00DE35A0">
      <w:pPr>
        <w:pStyle w:val="BodyText"/>
      </w:pPr>
    </w:p>
    <w:p w:rsidR="00000000" w:rsidRPr="00DE35A0" w:rsidP="00DE35A0">
      <w:pPr>
        <w:pStyle w:val="Heading1"/>
      </w:pPr>
      <w:bookmarkStart w:id="12" w:name="O_137222"/>
      <w:bookmarkEnd w:id="12"/>
      <w:r w:rsidRPr="00DE35A0">
        <w:t>Unit Sector(s)</w:t>
      </w:r>
    </w:p>
    <w:tbl>
      <w:tblPr>
        <w:tblW w:w="0" w:type="auto"/>
        <w:tblLayout w:type="fixed"/>
        <w:tblCellMar>
          <w:left w:w="62" w:type="dxa"/>
          <w:right w:w="62" w:type="dxa"/>
        </w:tblCellMar>
        <w:tblLook w:val="0000"/>
      </w:tblPr>
      <w:tblGrid>
        <w:gridCol w:w="2836"/>
        <w:gridCol w:w="6344"/>
      </w:tblGrid>
      <w:tr w:rsidTr="000B0E6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E35A0" w:rsidP="00DE35A0">
            <w:pPr>
              <w:pStyle w:val="BodyText"/>
            </w:pPr>
            <w:r w:rsidRPr="00DE35A0">
              <w:t>Funeral Services</w:t>
            </w:r>
          </w:p>
        </w:tc>
      </w:tr>
    </w:tbl>
    <w:p w:rsidR="00000000" w:rsidRPr="00DE35A0" w:rsidP="00DE35A0">
      <w:pPr>
        <w:pStyle w:val="BodyText"/>
      </w:pPr>
    </w:p>
    <w:p w:rsidR="00000000" w:rsidRPr="00DE35A0" w:rsidP="00DE35A0">
      <w:pPr>
        <w:pStyle w:val="AllowPageBreak"/>
      </w:pPr>
    </w:p>
    <w:p w:rsidR="00000000" w:rsidRPr="00DE35A0" w:rsidP="00DE35A0">
      <w:pPr>
        <w:pStyle w:val="Heading1"/>
      </w:pPr>
      <w:bookmarkStart w:id="13" w:name="O_162518"/>
      <w:bookmarkEnd w:id="13"/>
      <w:r w:rsidRPr="00DE35A0">
        <w:t>Competency field</w:t>
      </w:r>
    </w:p>
    <w:tbl>
      <w:tblPr>
        <w:tblW w:w="0" w:type="auto"/>
        <w:tblLayout w:type="fixed"/>
        <w:tblCellMar>
          <w:left w:w="62" w:type="dxa"/>
          <w:right w:w="62" w:type="dxa"/>
        </w:tblCellMar>
        <w:tblLook w:val="0000"/>
      </w:tblPr>
      <w:tblGrid>
        <w:gridCol w:w="2836"/>
        <w:gridCol w:w="6344"/>
      </w:tblGrid>
      <w:tr w:rsidTr="000B0E6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E35A0">
            <w:pPr>
              <w:pStyle w:val="BodyText"/>
              <w:rPr>
                <w:lang w:val="en-NZ"/>
              </w:rPr>
            </w:pPr>
            <w:r w:rsidRPr="00DE35A0">
              <w:t>Occupational Health and Safety</w:t>
            </w:r>
          </w:p>
        </w:tc>
      </w:tr>
      <w:tr w:rsidTr="000B0E6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E35A0" w:rsidP="00DE35A0">
            <w:pPr>
              <w:pStyle w:val="BodyText"/>
            </w:pPr>
          </w:p>
        </w:tc>
      </w:tr>
    </w:tbl>
    <w:p w:rsidR="00000000" w:rsidRPr="00DE35A0" w:rsidP="00DE35A0">
      <w:pPr>
        <w:pStyle w:val="BodyText"/>
      </w:pPr>
    </w:p>
    <w:p w:rsidR="00000000" w:rsidRPr="00DE35A0" w:rsidP="00DE35A0"/>
    <w:sectPr w:rsidSect="00DE35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0E66" w:rsidP="000B0E6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E66" w:rsidP="00DE35A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B0E66" w:rsidP="00DE35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B0E66" w:rsidP="00DE35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A0" w:rsidRPr="000B0E66" w:rsidP="000B0E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E66" w:rsidRPr="002D2AF8" w:rsidP="00DE35A0">
    <w:pPr>
      <w:pStyle w:val="Header"/>
      <w:framePr w:wrap="around"/>
    </w:pPr>
    <w:r>
      <w:fldChar w:fldCharType="begin"/>
    </w:r>
    <w:r>
      <w:instrText xml:space="preserve"> TITLE   \* MERGEFORMAT </w:instrText>
    </w:r>
    <w:r>
      <w:fldChar w:fldCharType="separate"/>
    </w:r>
    <w:r>
      <w:t>SIFOHS007A Identify hazards and assess risks in a cemetery or crematorium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B0E66" w:rsidP="00DE35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4466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0648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4C54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5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35A0"/>
    <w:pPr>
      <w:spacing w:before="360" w:after="60"/>
      <w:outlineLvl w:val="0"/>
    </w:pPr>
    <w:rPr>
      <w:sz w:val="32"/>
    </w:rPr>
  </w:style>
  <w:style w:type="paragraph" w:styleId="Heading2">
    <w:name w:val="heading 2"/>
    <w:basedOn w:val="HeadingBase"/>
    <w:next w:val="BodyText"/>
    <w:link w:val="Heading2Char"/>
    <w:qFormat/>
    <w:rsid w:val="00DE35A0"/>
    <w:pPr>
      <w:keepLines/>
      <w:spacing w:before="240" w:after="120"/>
      <w:outlineLvl w:val="1"/>
    </w:pPr>
    <w:rPr>
      <w:sz w:val="28"/>
      <w:szCs w:val="40"/>
    </w:rPr>
  </w:style>
  <w:style w:type="paragraph" w:styleId="Heading3">
    <w:name w:val="heading 3"/>
    <w:basedOn w:val="HeadingBase"/>
    <w:next w:val="BodyText"/>
    <w:link w:val="Heading3Char"/>
    <w:qFormat/>
    <w:rsid w:val="00DE35A0"/>
    <w:pPr>
      <w:spacing w:before="180" w:after="120"/>
      <w:outlineLvl w:val="2"/>
    </w:pPr>
    <w:rPr>
      <w:spacing w:val="-10"/>
      <w:kern w:val="32"/>
    </w:rPr>
  </w:style>
  <w:style w:type="paragraph" w:styleId="Heading4">
    <w:name w:val="heading 4"/>
    <w:basedOn w:val="HeadingBase"/>
    <w:next w:val="BodyText"/>
    <w:link w:val="Heading4Char"/>
    <w:qFormat/>
    <w:rsid w:val="00DE35A0"/>
    <w:pPr>
      <w:spacing w:before="160" w:after="120"/>
      <w:outlineLvl w:val="3"/>
    </w:pPr>
    <w:rPr>
      <w:sz w:val="22"/>
    </w:rPr>
  </w:style>
  <w:style w:type="paragraph" w:styleId="Heading5">
    <w:name w:val="heading 5"/>
    <w:basedOn w:val="HeadingBase"/>
    <w:next w:val="Normal"/>
    <w:link w:val="Heading5Char"/>
    <w:qFormat/>
    <w:rsid w:val="00DE35A0"/>
    <w:pPr>
      <w:spacing w:before="80"/>
      <w:outlineLvl w:val="4"/>
    </w:pPr>
    <w:rPr>
      <w:color w:val="918585"/>
      <w:sz w:val="20"/>
    </w:rPr>
  </w:style>
  <w:style w:type="paragraph" w:styleId="Heading6">
    <w:name w:val="heading 6"/>
    <w:basedOn w:val="HeadingBase"/>
    <w:next w:val="Normal"/>
    <w:link w:val="Heading6Char"/>
    <w:qFormat/>
    <w:rsid w:val="00DE35A0"/>
    <w:pPr>
      <w:spacing w:before="60"/>
      <w:outlineLvl w:val="5"/>
    </w:pPr>
    <w:rPr>
      <w:color w:val="918585"/>
      <w:sz w:val="20"/>
    </w:rPr>
  </w:style>
  <w:style w:type="paragraph" w:styleId="Heading7">
    <w:name w:val="heading 7"/>
    <w:basedOn w:val="Normal"/>
    <w:next w:val="Normal"/>
    <w:link w:val="Heading7Char"/>
    <w:qFormat/>
    <w:rsid w:val="00DE35A0"/>
    <w:pPr>
      <w:ind w:left="720"/>
      <w:outlineLvl w:val="6"/>
    </w:pPr>
    <w:rPr>
      <w:i/>
    </w:rPr>
  </w:style>
  <w:style w:type="paragraph" w:styleId="Heading8">
    <w:name w:val="heading 8"/>
    <w:basedOn w:val="Normal"/>
    <w:next w:val="Normal"/>
    <w:link w:val="Heading8Char"/>
    <w:qFormat/>
    <w:rsid w:val="00DE35A0"/>
    <w:pPr>
      <w:ind w:left="720"/>
      <w:outlineLvl w:val="7"/>
    </w:pPr>
    <w:rPr>
      <w:i/>
    </w:rPr>
  </w:style>
  <w:style w:type="paragraph" w:styleId="Heading9">
    <w:name w:val="heading 9"/>
    <w:basedOn w:val="Normal"/>
    <w:next w:val="Normal"/>
    <w:link w:val="Heading9Char"/>
    <w:qFormat/>
    <w:rsid w:val="00DE35A0"/>
    <w:pPr>
      <w:ind w:left="720"/>
      <w:outlineLvl w:val="8"/>
    </w:pPr>
    <w:rPr>
      <w:i/>
    </w:rPr>
  </w:style>
  <w:style w:type="character" w:default="1" w:styleId="DefaultParagraphFont">
    <w:name w:val="Default Paragraph Font"/>
    <w:uiPriority w:val="1"/>
    <w:unhideWhenUsed/>
    <w:rsid w:val="00DE35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5A0"/>
  </w:style>
  <w:style w:type="character" w:customStyle="1" w:styleId="Heading1Char">
    <w:name w:val="Heading 1 Char"/>
    <w:basedOn w:val="DefaultParagraphFont"/>
    <w:link w:val="Heading1"/>
    <w:rsid w:val="00DE35A0"/>
    <w:rPr>
      <w:rFonts w:ascii="Times New Roman" w:eastAsia="Times New Roman" w:hAnsi="Times New Roman" w:cs="Times New Roman"/>
      <w:b/>
      <w:sz w:val="32"/>
      <w:szCs w:val="20"/>
      <w:lang w:eastAsia="en-US"/>
    </w:rPr>
  </w:style>
  <w:style w:type="paragraph" w:styleId="BodyText">
    <w:name w:val="Body Text"/>
    <w:basedOn w:val="Normal"/>
    <w:link w:val="BodyTextChar"/>
    <w:rsid w:val="00DE35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35A0"/>
    <w:rPr>
      <w:rFonts w:ascii="Times New Roman" w:eastAsia="Times New Roman" w:hAnsi="Times New Roman" w:cs="Times New Roman"/>
      <w:sz w:val="24"/>
      <w:lang w:eastAsia="en-US"/>
    </w:rPr>
  </w:style>
  <w:style w:type="paragraph" w:styleId="Footer">
    <w:name w:val="footer"/>
    <w:basedOn w:val="Normal"/>
    <w:link w:val="FooterChar"/>
    <w:rsid w:val="00DE35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5A0"/>
    <w:rPr>
      <w:rFonts w:ascii="Times New Roman" w:eastAsia="Times New Roman" w:hAnsi="Times New Roman" w:cs="Times New Roman"/>
      <w:sz w:val="16"/>
      <w:lang w:eastAsia="en-US"/>
    </w:rPr>
  </w:style>
  <w:style w:type="paragraph" w:styleId="List">
    <w:name w:val="List"/>
    <w:basedOn w:val="BodyText"/>
    <w:next w:val="BodyText"/>
    <w:rsid w:val="00DE35A0"/>
    <w:pPr>
      <w:tabs>
        <w:tab w:val="left" w:pos="340"/>
      </w:tabs>
      <w:spacing w:before="60" w:after="60"/>
      <w:ind w:left="340" w:hanging="340"/>
    </w:pPr>
  </w:style>
  <w:style w:type="paragraph" w:styleId="ListBullet">
    <w:name w:val="List Bullet"/>
    <w:basedOn w:val="List"/>
    <w:rsid w:val="00DE35A0"/>
    <w:pPr>
      <w:numPr>
        <w:numId w:val="13"/>
      </w:numPr>
      <w:tabs>
        <w:tab w:val="clear" w:pos="340"/>
      </w:tabs>
      <w:spacing w:before="40" w:after="40"/>
    </w:pPr>
  </w:style>
  <w:style w:type="character" w:customStyle="1" w:styleId="SpecialBold">
    <w:name w:val="Special Bold"/>
    <w:basedOn w:val="DefaultParagraphFont"/>
    <w:rsid w:val="00DE35A0"/>
    <w:rPr>
      <w:b/>
      <w:spacing w:val="0"/>
    </w:rPr>
  </w:style>
  <w:style w:type="paragraph" w:styleId="ListBullet2">
    <w:name w:val="List Bullet 2"/>
    <w:basedOn w:val="List2"/>
    <w:rsid w:val="00DE35A0"/>
    <w:pPr>
      <w:numPr>
        <w:numId w:val="14"/>
      </w:numPr>
      <w:tabs>
        <w:tab w:val="clear" w:pos="680"/>
      </w:tabs>
    </w:pPr>
  </w:style>
  <w:style w:type="paragraph" w:customStyle="1" w:styleId="SuperHeading">
    <w:name w:val="SuperHeading"/>
    <w:basedOn w:val="Normal"/>
    <w:rsid w:val="00DE35A0"/>
    <w:pPr>
      <w:spacing w:before="240" w:after="120"/>
      <w:outlineLvl w:val="0"/>
    </w:pPr>
    <w:rPr>
      <w:rFonts w:ascii="Times New Roman" w:hAnsi="Times New Roman"/>
      <w:b/>
      <w:sz w:val="28"/>
    </w:rPr>
  </w:style>
  <w:style w:type="paragraph" w:customStyle="1" w:styleId="AllowPageBreak">
    <w:name w:val="AllowPageBreak"/>
    <w:rsid w:val="00DE35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E35A0"/>
    <w:rPr>
      <w:b/>
      <w:i/>
      <w:u w:val="none"/>
    </w:rPr>
  </w:style>
  <w:style w:type="character" w:customStyle="1" w:styleId="Heading2Char">
    <w:name w:val="Heading 2 Char"/>
    <w:basedOn w:val="DefaultParagraphFont"/>
    <w:link w:val="Heading2"/>
    <w:rsid w:val="00DE35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5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5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5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5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5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35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35A0"/>
    <w:rPr>
      <w:rFonts w:ascii="Courier New" w:eastAsia="Times New Roman" w:hAnsi="Courier New" w:cs="Times New Roman"/>
      <w:i/>
      <w:szCs w:val="20"/>
      <w:lang w:eastAsia="en-US"/>
    </w:rPr>
  </w:style>
  <w:style w:type="paragraph" w:customStyle="1" w:styleId="HeadingBase">
    <w:name w:val="Heading Base"/>
    <w:rsid w:val="00DE35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5A0"/>
    <w:pPr>
      <w:tabs>
        <w:tab w:val="right" w:leader="dot" w:pos="9072"/>
      </w:tabs>
      <w:ind w:left="567"/>
    </w:pPr>
    <w:rPr>
      <w:szCs w:val="22"/>
    </w:rPr>
  </w:style>
  <w:style w:type="paragraph" w:customStyle="1" w:styleId="TOCBase">
    <w:name w:val="TOC Base"/>
    <w:rsid w:val="00DE35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5A0"/>
    <w:pPr>
      <w:tabs>
        <w:tab w:val="right" w:leader="dot" w:pos="9072"/>
      </w:tabs>
      <w:spacing w:before="40" w:after="40"/>
      <w:ind w:left="284"/>
    </w:pPr>
    <w:rPr>
      <w:rFonts w:ascii="Times New Roman" w:hAnsi="Times New Roman"/>
    </w:rPr>
  </w:style>
  <w:style w:type="paragraph" w:styleId="TOC1">
    <w:name w:val="toc 1"/>
    <w:basedOn w:val="TOCBase"/>
    <w:next w:val="Normal"/>
    <w:rsid w:val="00DE35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35A0"/>
    <w:pPr>
      <w:spacing w:before="5040"/>
      <w:jc w:val="center"/>
    </w:pPr>
    <w:rPr>
      <w:sz w:val="48"/>
      <w:szCs w:val="72"/>
      <w:lang w:val="en-US"/>
    </w:rPr>
  </w:style>
  <w:style w:type="character" w:customStyle="1" w:styleId="TitleChar">
    <w:name w:val="Title Char"/>
    <w:basedOn w:val="DefaultParagraphFont"/>
    <w:link w:val="Title"/>
    <w:rsid w:val="00DE35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5A0"/>
    <w:pPr>
      <w:tabs>
        <w:tab w:val="left" w:pos="3600"/>
        <w:tab w:val="left" w:pos="3958"/>
      </w:tabs>
    </w:pPr>
  </w:style>
  <w:style w:type="paragraph" w:customStyle="1" w:styleId="Note">
    <w:name w:val="Note"/>
    <w:basedOn w:val="BodyText"/>
    <w:rsid w:val="00DE35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5A0"/>
    <w:pPr>
      <w:framePr w:wrap="auto" w:hAnchor="text" w:y="6049"/>
    </w:pPr>
    <w:rPr>
      <w:color w:val="000000"/>
      <w:sz w:val="40"/>
    </w:rPr>
  </w:style>
  <w:style w:type="paragraph" w:customStyle="1" w:styleId="TOCTitle">
    <w:name w:val="TOCTitle"/>
    <w:basedOn w:val="Heading1"/>
    <w:rsid w:val="00DE35A0"/>
    <w:pPr>
      <w:spacing w:after="240"/>
      <w:jc w:val="center"/>
      <w:outlineLvl w:val="9"/>
    </w:pPr>
    <w:rPr>
      <w:caps/>
    </w:rPr>
  </w:style>
  <w:style w:type="paragraph" w:customStyle="1" w:styleId="Version">
    <w:name w:val="Version"/>
    <w:rsid w:val="00DE35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35A0"/>
    <w:pPr>
      <w:keepNext w:val="0"/>
      <w:tabs>
        <w:tab w:val="right" w:pos="4176"/>
      </w:tabs>
      <w:ind w:left="198" w:hanging="198"/>
    </w:pPr>
    <w:rPr>
      <w:rFonts w:ascii="Garamond" w:hAnsi="Garamond"/>
    </w:rPr>
  </w:style>
  <w:style w:type="paragraph" w:styleId="IndexHeading">
    <w:name w:val="index heading"/>
    <w:basedOn w:val="Normal"/>
    <w:next w:val="Index1"/>
    <w:semiHidden/>
    <w:rsid w:val="00DE35A0"/>
    <w:pPr>
      <w:spacing w:before="120" w:after="120"/>
    </w:pPr>
    <w:rPr>
      <w:rFonts w:ascii="Arial" w:hAnsi="Arial"/>
      <w:b/>
      <w:color w:val="918585"/>
      <w:sz w:val="24"/>
    </w:rPr>
  </w:style>
  <w:style w:type="paragraph" w:styleId="Header">
    <w:name w:val="header"/>
    <w:basedOn w:val="Normal"/>
    <w:link w:val="HeaderChar"/>
    <w:rsid w:val="00DE35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5A0"/>
    <w:rPr>
      <w:rFonts w:ascii="Times New Roman" w:eastAsia="Times New Roman" w:hAnsi="Times New Roman" w:cs="Times New Roman"/>
      <w:sz w:val="16"/>
      <w:szCs w:val="20"/>
      <w:lang w:val="en-GB" w:eastAsia="en-US"/>
    </w:rPr>
  </w:style>
  <w:style w:type="paragraph" w:customStyle="1" w:styleId="Chapter">
    <w:name w:val="Chapter"/>
    <w:basedOn w:val="Normal"/>
    <w:rsid w:val="00DE35A0"/>
    <w:pPr>
      <w:spacing w:before="240"/>
    </w:pPr>
    <w:rPr>
      <w:rFonts w:ascii="Times New Roman" w:hAnsi="Times New Roman"/>
      <w:smallCaps/>
      <w:spacing w:val="80"/>
      <w:sz w:val="28"/>
    </w:rPr>
  </w:style>
  <w:style w:type="paragraph" w:customStyle="1" w:styleId="InChapter">
    <w:name w:val="InChapter"/>
    <w:basedOn w:val="Heading3"/>
    <w:rsid w:val="00DE35A0"/>
    <w:pPr>
      <w:spacing w:after="240"/>
      <w:outlineLvl w:val="9"/>
    </w:pPr>
    <w:rPr>
      <w:noProof/>
    </w:rPr>
  </w:style>
  <w:style w:type="paragraph" w:styleId="Index2">
    <w:name w:val="index 2"/>
    <w:basedOn w:val="Normal"/>
    <w:next w:val="Normal"/>
    <w:semiHidden/>
    <w:rsid w:val="00DE35A0"/>
    <w:pPr>
      <w:tabs>
        <w:tab w:val="right" w:pos="4176"/>
      </w:tabs>
      <w:ind w:left="568" w:hanging="284"/>
    </w:pPr>
    <w:rPr>
      <w:rFonts w:ascii="Garamond" w:hAnsi="Garamond"/>
    </w:rPr>
  </w:style>
  <w:style w:type="paragraph" w:customStyle="1" w:styleId="Byline">
    <w:name w:val="Byline"/>
    <w:rsid w:val="00DE35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5A0"/>
    <w:pPr>
      <w:tabs>
        <w:tab w:val="clear" w:pos="3600"/>
        <w:tab w:val="clear" w:pos="3958"/>
      </w:tabs>
      <w:jc w:val="right"/>
    </w:pPr>
  </w:style>
  <w:style w:type="character" w:styleId="Emphasis">
    <w:name w:val="Emphasis"/>
    <w:basedOn w:val="DefaultParagraphFont"/>
    <w:qFormat/>
    <w:rsid w:val="00DE35A0"/>
    <w:rPr>
      <w:i/>
    </w:rPr>
  </w:style>
  <w:style w:type="paragraph" w:styleId="Caption">
    <w:name w:val="caption"/>
    <w:basedOn w:val="BodyText"/>
    <w:next w:val="Normal"/>
    <w:qFormat/>
    <w:rsid w:val="00DE35A0"/>
    <w:pPr>
      <w:framePr w:w="2268" w:hSpace="181" w:vSpace="181" w:wrap="around" w:vAnchor="text" w:hAnchor="page" w:x="1135" w:y="285" w:anchorLock="1"/>
    </w:pPr>
    <w:rPr>
      <w:i/>
    </w:rPr>
  </w:style>
  <w:style w:type="paragraph" w:customStyle="1" w:styleId="MiniTOCTitle">
    <w:name w:val="MiniTOCTitle"/>
    <w:basedOn w:val="Heading4"/>
    <w:rsid w:val="00DE35A0"/>
    <w:pPr>
      <w:spacing w:before="240"/>
      <w:outlineLvl w:val="9"/>
    </w:pPr>
    <w:rPr>
      <w:noProof/>
      <w:sz w:val="24"/>
    </w:rPr>
  </w:style>
  <w:style w:type="paragraph" w:customStyle="1" w:styleId="MiniTOCItem">
    <w:name w:val="MiniTOCItem"/>
    <w:basedOn w:val="ListBullet"/>
    <w:rsid w:val="00DE35A0"/>
    <w:pPr>
      <w:numPr>
        <w:numId w:val="0"/>
      </w:numPr>
      <w:tabs>
        <w:tab w:val="right" w:leader="dot" w:pos="6521"/>
      </w:tabs>
      <w:spacing w:before="0" w:after="0"/>
    </w:pPr>
  </w:style>
  <w:style w:type="paragraph" w:customStyle="1" w:styleId="TOFTitle">
    <w:name w:val="TOFTitle"/>
    <w:basedOn w:val="TOCTitle"/>
    <w:rsid w:val="00DE35A0"/>
  </w:style>
  <w:style w:type="paragraph" w:styleId="TableofFigures">
    <w:name w:val="table of figures"/>
    <w:basedOn w:val="Normal"/>
    <w:next w:val="Normal"/>
    <w:semiHidden/>
    <w:rsid w:val="00DE35A0"/>
    <w:pPr>
      <w:tabs>
        <w:tab w:val="right" w:leader="dot" w:pos="9072"/>
      </w:tabs>
      <w:ind w:left="970" w:hanging="403"/>
    </w:pPr>
    <w:rPr>
      <w:rFonts w:ascii="Times New Roman" w:hAnsi="Times New Roman"/>
      <w:b/>
    </w:rPr>
  </w:style>
  <w:style w:type="paragraph" w:styleId="ListNumber">
    <w:name w:val="List Number"/>
    <w:basedOn w:val="List"/>
    <w:rsid w:val="00DE35A0"/>
    <w:pPr>
      <w:numPr>
        <w:numId w:val="11"/>
      </w:numPr>
    </w:pPr>
  </w:style>
  <w:style w:type="character" w:customStyle="1" w:styleId="WingdingSymbols">
    <w:name w:val="Wingding Symbols"/>
    <w:rsid w:val="00DE35A0"/>
    <w:rPr>
      <w:rFonts w:ascii="Wingdings" w:hAnsi="Wingdings"/>
    </w:rPr>
  </w:style>
  <w:style w:type="paragraph" w:customStyle="1" w:styleId="TableHeading">
    <w:name w:val="Table Heading"/>
    <w:basedOn w:val="HeadingBase"/>
    <w:rsid w:val="00DE35A0"/>
    <w:pPr>
      <w:keepLines/>
      <w:pBdr>
        <w:bottom w:val="single" w:sz="6" w:space="1" w:color="918585"/>
      </w:pBdr>
      <w:spacing w:before="240"/>
    </w:pPr>
  </w:style>
  <w:style w:type="character" w:customStyle="1" w:styleId="HotSpot">
    <w:name w:val="HotSpot"/>
    <w:rsid w:val="00DE35A0"/>
    <w:rPr>
      <w:color w:val="0033CC"/>
      <w:u w:val="none"/>
    </w:rPr>
  </w:style>
  <w:style w:type="paragraph" w:customStyle="1" w:styleId="BodyTextRight">
    <w:name w:val="Body Text Right"/>
    <w:basedOn w:val="BodyText"/>
    <w:rsid w:val="00DE35A0"/>
    <w:pPr>
      <w:spacing w:before="0" w:after="0"/>
      <w:jc w:val="right"/>
    </w:pPr>
  </w:style>
  <w:style w:type="paragraph" w:styleId="Index3">
    <w:name w:val="index 3"/>
    <w:basedOn w:val="ListNumber2"/>
    <w:next w:val="Normal"/>
    <w:semiHidden/>
    <w:rsid w:val="00DE35A0"/>
    <w:pPr>
      <w:numPr>
        <w:numId w:val="0"/>
      </w:numPr>
      <w:tabs>
        <w:tab w:val="right" w:leader="dot" w:pos="4176"/>
      </w:tabs>
    </w:pPr>
  </w:style>
  <w:style w:type="paragraph" w:styleId="ListNumber2">
    <w:name w:val="List Number 2"/>
    <w:basedOn w:val="List2"/>
    <w:rsid w:val="00DE35A0"/>
    <w:pPr>
      <w:numPr>
        <w:numId w:val="10"/>
      </w:numPr>
      <w:tabs>
        <w:tab w:val="clear" w:pos="1060"/>
      </w:tabs>
    </w:pPr>
  </w:style>
  <w:style w:type="paragraph" w:customStyle="1" w:styleId="MarginNote">
    <w:name w:val="Margin Note"/>
    <w:basedOn w:val="BodyText"/>
    <w:rsid w:val="00DE35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5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5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35A0"/>
    <w:rPr>
      <w:sz w:val="32"/>
    </w:rPr>
  </w:style>
  <w:style w:type="paragraph" w:customStyle="1" w:styleId="HeadingProcedure">
    <w:name w:val="Heading Procedure"/>
    <w:basedOn w:val="HeadingBase"/>
    <w:next w:val="Normal"/>
    <w:rsid w:val="00DE35A0"/>
    <w:pPr>
      <w:tabs>
        <w:tab w:val="left" w:pos="0"/>
      </w:tabs>
      <w:spacing w:before="120" w:after="60"/>
    </w:pPr>
    <w:rPr>
      <w:i/>
      <w:color w:val="918585"/>
      <w:sz w:val="22"/>
    </w:rPr>
  </w:style>
  <w:style w:type="paragraph" w:customStyle="1" w:styleId="TableBodyText">
    <w:name w:val="Table Body Text"/>
    <w:basedOn w:val="BodyText"/>
    <w:rsid w:val="00DE35A0"/>
    <w:pPr>
      <w:spacing w:before="60" w:after="60"/>
    </w:pPr>
  </w:style>
  <w:style w:type="paragraph" w:styleId="ListContinue">
    <w:name w:val="List Continue"/>
    <w:basedOn w:val="List"/>
    <w:rsid w:val="00DE35A0"/>
    <w:pPr>
      <w:ind w:firstLine="0"/>
    </w:pPr>
  </w:style>
  <w:style w:type="paragraph" w:customStyle="1" w:styleId="ListNote">
    <w:name w:val="List Note"/>
    <w:basedOn w:val="List"/>
    <w:rsid w:val="00DE35A0"/>
    <w:pPr>
      <w:pBdr>
        <w:top w:val="single" w:sz="6" w:space="2" w:color="918585"/>
        <w:bottom w:val="single" w:sz="6" w:space="2" w:color="918585"/>
      </w:pBdr>
      <w:tabs>
        <w:tab w:val="left" w:pos="1021"/>
      </w:tabs>
      <w:ind w:firstLine="0"/>
    </w:pPr>
  </w:style>
  <w:style w:type="paragraph" w:customStyle="1" w:styleId="Warning">
    <w:name w:val="Warning"/>
    <w:basedOn w:val="BodyText"/>
    <w:rsid w:val="00DE35A0"/>
    <w:pPr>
      <w:shd w:val="clear" w:color="auto" w:fill="D9D9D9"/>
      <w:tabs>
        <w:tab w:val="left" w:pos="992"/>
      </w:tabs>
      <w:ind w:left="119" w:right="119"/>
    </w:pPr>
    <w:rPr>
      <w:sz w:val="20"/>
    </w:rPr>
  </w:style>
  <w:style w:type="paragraph" w:customStyle="1" w:styleId="MarginIcons">
    <w:name w:val="Margin Icons"/>
    <w:basedOn w:val="BodyText"/>
    <w:rsid w:val="00DE35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5A0"/>
    <w:rPr>
      <w:rFonts w:ascii="Courier New" w:hAnsi="Courier New"/>
    </w:rPr>
  </w:style>
  <w:style w:type="paragraph" w:customStyle="1" w:styleId="NoteBullet">
    <w:name w:val="Note Bullet"/>
    <w:basedOn w:val="Note"/>
    <w:rsid w:val="00DE35A0"/>
    <w:pPr>
      <w:tabs>
        <w:tab w:val="clear" w:pos="680"/>
      </w:tabs>
      <w:spacing w:before="60" w:after="60"/>
    </w:pPr>
  </w:style>
  <w:style w:type="paragraph" w:customStyle="1" w:styleId="SubHeading2">
    <w:name w:val="SubHeading2"/>
    <w:basedOn w:val="HeadingBase"/>
    <w:rsid w:val="00DE35A0"/>
    <w:pPr>
      <w:spacing w:before="240" w:after="60"/>
    </w:pPr>
    <w:rPr>
      <w:sz w:val="20"/>
    </w:rPr>
  </w:style>
  <w:style w:type="paragraph" w:customStyle="1" w:styleId="SubHeading1">
    <w:name w:val="SubHeading1"/>
    <w:basedOn w:val="HeadingBase"/>
    <w:rsid w:val="00DE35A0"/>
    <w:pPr>
      <w:spacing w:before="240" w:after="60"/>
    </w:pPr>
    <w:rPr>
      <w:color w:val="918585"/>
      <w:sz w:val="22"/>
    </w:rPr>
  </w:style>
  <w:style w:type="paragraph" w:customStyle="1" w:styleId="SideHeading">
    <w:name w:val="Side Heading"/>
    <w:basedOn w:val="HeadingBase"/>
    <w:rsid w:val="00DE35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5A0"/>
    <w:pPr>
      <w:numPr>
        <w:numId w:val="12"/>
      </w:numPr>
    </w:pPr>
  </w:style>
  <w:style w:type="paragraph" w:styleId="PlainText">
    <w:name w:val="Plain Text"/>
    <w:basedOn w:val="Normal"/>
    <w:link w:val="PlainTextChar"/>
    <w:rsid w:val="00DE35A0"/>
    <w:rPr>
      <w:sz w:val="20"/>
    </w:rPr>
  </w:style>
  <w:style w:type="character" w:customStyle="1" w:styleId="PlainTextChar">
    <w:name w:val="Plain Text Char"/>
    <w:basedOn w:val="DefaultParagraphFont"/>
    <w:link w:val="PlainText"/>
    <w:rsid w:val="00DE35A0"/>
    <w:rPr>
      <w:rFonts w:ascii="Courier New" w:eastAsia="Times New Roman" w:hAnsi="Courier New" w:cs="Times New Roman"/>
      <w:sz w:val="20"/>
      <w:szCs w:val="20"/>
      <w:lang w:eastAsia="en-US"/>
    </w:rPr>
  </w:style>
  <w:style w:type="character" w:customStyle="1" w:styleId="MenuOption">
    <w:name w:val="Menu Option"/>
    <w:basedOn w:val="DefaultParagraphFont"/>
    <w:rsid w:val="00DE35A0"/>
    <w:rPr>
      <w:b/>
      <w:smallCaps/>
    </w:rPr>
  </w:style>
  <w:style w:type="paragraph" w:customStyle="1" w:styleId="TableListNumber">
    <w:name w:val="Table List Number"/>
    <w:basedOn w:val="ListNumber"/>
    <w:rsid w:val="00DE35A0"/>
    <w:pPr>
      <w:numPr>
        <w:numId w:val="0"/>
      </w:numPr>
    </w:pPr>
  </w:style>
  <w:style w:type="paragraph" w:styleId="TOC4">
    <w:name w:val="toc 4"/>
    <w:basedOn w:val="TOCBase"/>
    <w:next w:val="Normal"/>
    <w:semiHidden/>
    <w:rsid w:val="00DE35A0"/>
    <w:pPr>
      <w:tabs>
        <w:tab w:val="right" w:leader="dot" w:pos="9071"/>
      </w:tabs>
      <w:ind w:left="1701"/>
    </w:pPr>
  </w:style>
  <w:style w:type="paragraph" w:customStyle="1" w:styleId="ListAlpha">
    <w:name w:val="List Alpha"/>
    <w:basedOn w:val="List"/>
    <w:rsid w:val="00DE35A0"/>
    <w:pPr>
      <w:numPr>
        <w:numId w:val="9"/>
      </w:numPr>
    </w:pPr>
  </w:style>
  <w:style w:type="paragraph" w:customStyle="1" w:styleId="ListAlpha2">
    <w:name w:val="List Alpha 2"/>
    <w:basedOn w:val="List2"/>
    <w:rsid w:val="00DE35A0"/>
    <w:pPr>
      <w:numPr>
        <w:numId w:val="8"/>
      </w:numPr>
    </w:pPr>
  </w:style>
  <w:style w:type="paragraph" w:styleId="List2">
    <w:name w:val="List 2"/>
    <w:basedOn w:val="BodyText"/>
    <w:rsid w:val="00DE35A0"/>
    <w:pPr>
      <w:tabs>
        <w:tab w:val="left" w:pos="680"/>
      </w:tabs>
      <w:spacing w:before="60" w:after="60"/>
      <w:ind w:left="680" w:hanging="340"/>
    </w:pPr>
  </w:style>
  <w:style w:type="paragraph" w:styleId="List3">
    <w:name w:val="List 3"/>
    <w:basedOn w:val="BodyText"/>
    <w:rsid w:val="00DE35A0"/>
    <w:pPr>
      <w:tabs>
        <w:tab w:val="left" w:pos="1021"/>
      </w:tabs>
      <w:spacing w:before="60" w:after="60"/>
      <w:ind w:left="1020" w:hanging="340"/>
    </w:pPr>
  </w:style>
  <w:style w:type="paragraph" w:styleId="List4">
    <w:name w:val="List 4"/>
    <w:basedOn w:val="BodyText"/>
    <w:rsid w:val="00DE35A0"/>
    <w:pPr>
      <w:tabs>
        <w:tab w:val="left" w:pos="1361"/>
      </w:tabs>
      <w:spacing w:before="60" w:after="60"/>
      <w:ind w:left="1361" w:hanging="340"/>
    </w:pPr>
  </w:style>
  <w:style w:type="paragraph" w:styleId="List5">
    <w:name w:val="List 5"/>
    <w:basedOn w:val="BodyText"/>
    <w:rsid w:val="00DE35A0"/>
    <w:pPr>
      <w:tabs>
        <w:tab w:val="left" w:pos="1701"/>
      </w:tabs>
      <w:spacing w:before="60" w:after="60"/>
      <w:ind w:left="1701" w:hanging="340"/>
    </w:pPr>
  </w:style>
  <w:style w:type="paragraph" w:styleId="ListBullet3">
    <w:name w:val="List Bullet 3"/>
    <w:basedOn w:val="List3"/>
    <w:rsid w:val="00DE35A0"/>
    <w:pPr>
      <w:numPr>
        <w:numId w:val="15"/>
      </w:numPr>
      <w:tabs>
        <w:tab w:val="clear" w:pos="1021"/>
      </w:tabs>
      <w:ind w:left="1037" w:hanging="357"/>
    </w:pPr>
  </w:style>
  <w:style w:type="paragraph" w:styleId="ListBullet4">
    <w:name w:val="List Bullet 4"/>
    <w:basedOn w:val="List4"/>
    <w:rsid w:val="00DE35A0"/>
    <w:pPr>
      <w:numPr>
        <w:numId w:val="3"/>
      </w:numPr>
    </w:pPr>
  </w:style>
  <w:style w:type="paragraph" w:styleId="ListBullet5">
    <w:name w:val="List Bullet 5"/>
    <w:basedOn w:val="List5"/>
    <w:rsid w:val="00DE35A0"/>
    <w:pPr>
      <w:numPr>
        <w:numId w:val="4"/>
      </w:numPr>
    </w:pPr>
  </w:style>
  <w:style w:type="paragraph" w:styleId="ListContinue2">
    <w:name w:val="List Continue 2"/>
    <w:basedOn w:val="List2"/>
    <w:rsid w:val="00DE35A0"/>
    <w:pPr>
      <w:ind w:firstLine="0"/>
    </w:pPr>
  </w:style>
  <w:style w:type="paragraph" w:styleId="ListContinue3">
    <w:name w:val="List Continue 3"/>
    <w:basedOn w:val="List3"/>
    <w:rsid w:val="00DE35A0"/>
    <w:pPr>
      <w:ind w:left="1021" w:firstLine="0"/>
    </w:pPr>
  </w:style>
  <w:style w:type="paragraph" w:styleId="ListContinue4">
    <w:name w:val="List Continue 4"/>
    <w:basedOn w:val="List4"/>
    <w:rsid w:val="00DE35A0"/>
    <w:pPr>
      <w:ind w:firstLine="0"/>
    </w:pPr>
  </w:style>
  <w:style w:type="paragraph" w:styleId="ListContinue5">
    <w:name w:val="List Continue 5"/>
    <w:basedOn w:val="List5"/>
    <w:rsid w:val="00DE35A0"/>
    <w:pPr>
      <w:ind w:firstLine="0"/>
    </w:pPr>
  </w:style>
  <w:style w:type="paragraph" w:styleId="ListNumber3">
    <w:name w:val="List Number 3"/>
    <w:basedOn w:val="List3"/>
    <w:rsid w:val="00DE35A0"/>
    <w:pPr>
      <w:numPr>
        <w:numId w:val="5"/>
      </w:numPr>
    </w:pPr>
  </w:style>
  <w:style w:type="paragraph" w:styleId="ListNumber4">
    <w:name w:val="List Number 4"/>
    <w:basedOn w:val="List4"/>
    <w:rsid w:val="00DE35A0"/>
    <w:pPr>
      <w:numPr>
        <w:numId w:val="6"/>
      </w:numPr>
    </w:pPr>
  </w:style>
  <w:style w:type="paragraph" w:styleId="ListNumber5">
    <w:name w:val="List Number 5"/>
    <w:basedOn w:val="List5"/>
    <w:rsid w:val="00DE35A0"/>
    <w:pPr>
      <w:numPr>
        <w:numId w:val="7"/>
      </w:numPr>
    </w:pPr>
  </w:style>
  <w:style w:type="paragraph" w:styleId="BlockText">
    <w:name w:val="Block Text"/>
    <w:basedOn w:val="Normal"/>
    <w:rsid w:val="00DE35A0"/>
    <w:pPr>
      <w:spacing w:after="120"/>
      <w:ind w:left="1440" w:right="1440"/>
    </w:pPr>
  </w:style>
  <w:style w:type="character" w:customStyle="1" w:styleId="Subscript">
    <w:name w:val="Subscript"/>
    <w:basedOn w:val="DefaultParagraphFont"/>
    <w:rsid w:val="00DE35A0"/>
    <w:rPr>
      <w:sz w:val="16"/>
      <w:vertAlign w:val="subscript"/>
    </w:rPr>
  </w:style>
  <w:style w:type="character" w:customStyle="1" w:styleId="Superscript">
    <w:name w:val="Superscript"/>
    <w:basedOn w:val="DefaultParagraphFont"/>
    <w:rsid w:val="00DE35A0"/>
    <w:rPr>
      <w:sz w:val="16"/>
      <w:vertAlign w:val="superscript"/>
    </w:rPr>
  </w:style>
  <w:style w:type="character" w:customStyle="1" w:styleId="Symbols">
    <w:name w:val="Symbols"/>
    <w:basedOn w:val="DefaultParagraphFont"/>
    <w:rsid w:val="00DE35A0"/>
    <w:rPr>
      <w:rFonts w:ascii="Symbol" w:hAnsi="Symbol"/>
    </w:rPr>
  </w:style>
  <w:style w:type="character" w:customStyle="1" w:styleId="MenuOptions">
    <w:name w:val="Menu Options"/>
    <w:basedOn w:val="DefaultParagraphFont"/>
    <w:rsid w:val="00DE35A0"/>
    <w:rPr>
      <w:rFonts w:ascii="Arial Narrow" w:hAnsi="Arial Narrow"/>
      <w:smallCaps/>
    </w:rPr>
  </w:style>
  <w:style w:type="character" w:customStyle="1" w:styleId="Buttons">
    <w:name w:val="Buttons"/>
    <w:basedOn w:val="DefaultParagraphFont"/>
    <w:rsid w:val="00DE35A0"/>
    <w:rPr>
      <w:b/>
    </w:rPr>
  </w:style>
  <w:style w:type="character" w:customStyle="1" w:styleId="Underlined">
    <w:name w:val="Underlined"/>
    <w:basedOn w:val="DefaultParagraphFont"/>
    <w:rsid w:val="00DE35A0"/>
    <w:rPr>
      <w:u w:val="single"/>
    </w:rPr>
  </w:style>
  <w:style w:type="paragraph" w:customStyle="1" w:styleId="TableBodyTextRight">
    <w:name w:val="Table Body Text Right"/>
    <w:basedOn w:val="TableBodyText"/>
    <w:rsid w:val="00DE35A0"/>
    <w:pPr>
      <w:widowControl w:val="0"/>
      <w:autoSpaceDE w:val="0"/>
      <w:autoSpaceDN w:val="0"/>
      <w:adjustRightInd w:val="0"/>
      <w:jc w:val="right"/>
    </w:pPr>
    <w:rPr>
      <w:rFonts w:cs="Arial"/>
      <w:szCs w:val="18"/>
    </w:rPr>
  </w:style>
  <w:style w:type="paragraph" w:customStyle="1" w:styleId="CopyrightText">
    <w:name w:val="Copyright Text"/>
    <w:basedOn w:val="BodyText"/>
    <w:rsid w:val="00DE35A0"/>
    <w:rPr>
      <w:sz w:val="18"/>
    </w:rPr>
  </w:style>
  <w:style w:type="paragraph" w:customStyle="1" w:styleId="BodySmallRight">
    <w:name w:val="Body Small Right"/>
    <w:basedOn w:val="BodyTextRight"/>
    <w:rsid w:val="00DE35A0"/>
    <w:rPr>
      <w:sz w:val="18"/>
      <w:szCs w:val="18"/>
    </w:rPr>
  </w:style>
  <w:style w:type="paragraph" w:customStyle="1" w:styleId="MarginEdition">
    <w:name w:val="Margin Edition"/>
    <w:basedOn w:val="MarginNote"/>
    <w:rsid w:val="00DE35A0"/>
    <w:pPr>
      <w:spacing w:before="0" w:after="0"/>
    </w:pPr>
    <w:rPr>
      <w:rFonts w:ascii="Times New Roman" w:hAnsi="Times New Roman"/>
      <w:color w:val="999999"/>
    </w:rPr>
  </w:style>
  <w:style w:type="paragraph" w:customStyle="1" w:styleId="Spacer">
    <w:name w:val="Spacer"/>
    <w:basedOn w:val="Normal"/>
    <w:rsid w:val="00DE35A0"/>
    <w:rPr>
      <w:sz w:val="2"/>
      <w:szCs w:val="2"/>
    </w:rPr>
  </w:style>
  <w:style w:type="character" w:customStyle="1" w:styleId="Small">
    <w:name w:val="Small"/>
    <w:basedOn w:val="DefaultParagraphFont"/>
    <w:rsid w:val="00DE35A0"/>
    <w:rPr>
      <w:sz w:val="16"/>
    </w:rPr>
  </w:style>
  <w:style w:type="paragraph" w:customStyle="1" w:styleId="WideTable">
    <w:name w:val="Wide Table"/>
    <w:basedOn w:val="Normal"/>
    <w:rsid w:val="00DE35A0"/>
    <w:pPr>
      <w:ind w:left="-1418"/>
    </w:pPr>
    <w:rPr>
      <w:sz w:val="2"/>
      <w:szCs w:val="2"/>
    </w:rPr>
  </w:style>
  <w:style w:type="character" w:styleId="PageNumber">
    <w:name w:val="page number"/>
    <w:basedOn w:val="DefaultParagraphFont"/>
    <w:rsid w:val="00DE35A0"/>
  </w:style>
  <w:style w:type="paragraph" w:styleId="Quote">
    <w:name w:val="Quote"/>
    <w:basedOn w:val="Heading1"/>
    <w:link w:val="QuoteChar"/>
    <w:qFormat/>
    <w:rsid w:val="00DE35A0"/>
    <w:rPr>
      <w:b w:val="0"/>
      <w:sz w:val="72"/>
      <w:szCs w:val="72"/>
      <w:lang w:val="en-NZ"/>
    </w:rPr>
  </w:style>
  <w:style w:type="character" w:customStyle="1" w:styleId="QuoteChar">
    <w:name w:val="Quote Char"/>
    <w:basedOn w:val="DefaultParagraphFont"/>
    <w:link w:val="Quote"/>
    <w:rsid w:val="00DE35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5A0"/>
    <w:pPr>
      <w:pageBreakBefore/>
    </w:pPr>
  </w:style>
  <w:style w:type="paragraph" w:customStyle="1" w:styleId="Border">
    <w:name w:val="Border"/>
    <w:basedOn w:val="Normal"/>
    <w:qFormat/>
    <w:rsid w:val="00DE35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5A0"/>
    <w:rPr>
      <w:b/>
      <w:bCs/>
      <w:i/>
      <w:iCs/>
      <w:color w:val="auto"/>
    </w:rPr>
  </w:style>
  <w:style w:type="paragraph" w:styleId="IntenseQuote">
    <w:name w:val="Intense Quote"/>
    <w:basedOn w:val="Normal"/>
    <w:next w:val="Normal"/>
    <w:link w:val="IntenseQuoteChar"/>
    <w:uiPriority w:val="30"/>
    <w:qFormat/>
    <w:rsid w:val="00DE35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5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35A0"/>
    <w:rPr>
      <w:smallCaps/>
      <w:color w:val="auto"/>
      <w:u w:val="single"/>
    </w:rPr>
  </w:style>
  <w:style w:type="character" w:styleId="IntenseReference">
    <w:name w:val="Intense Reference"/>
    <w:basedOn w:val="DefaultParagraphFont"/>
    <w:uiPriority w:val="32"/>
    <w:qFormat/>
    <w:rsid w:val="00DE35A0"/>
    <w:rPr>
      <w:b/>
      <w:bCs/>
      <w:smallCaps/>
      <w:color w:val="auto"/>
      <w:spacing w:val="5"/>
      <w:u w:val="single"/>
    </w:rPr>
  </w:style>
  <w:style w:type="paragraph" w:customStyle="1" w:styleId="2ColumnHeading">
    <w:name w:val="2Column Heading"/>
    <w:basedOn w:val="BodyText"/>
    <w:qFormat/>
    <w:rsid w:val="00DE35A0"/>
    <w:pPr>
      <w:spacing w:after="60"/>
      <w:ind w:left="-2268"/>
    </w:pPr>
    <w:rPr>
      <w:b/>
    </w:rPr>
  </w:style>
  <w:style w:type="paragraph" w:customStyle="1" w:styleId="Heading1TOC">
    <w:name w:val="Heading1 TOC"/>
    <w:basedOn w:val="Normal"/>
    <w:qFormat/>
    <w:rsid w:val="00DE35A0"/>
    <w:pPr>
      <w:spacing w:before="240" w:after="120"/>
    </w:pPr>
    <w:rPr>
      <w:rFonts w:ascii="Times New Roman" w:hAnsi="Times New Roman"/>
      <w:b/>
      <w:sz w:val="32"/>
    </w:rPr>
  </w:style>
  <w:style w:type="paragraph" w:customStyle="1" w:styleId="Heading2TOC">
    <w:name w:val="Heading2 TOC"/>
    <w:basedOn w:val="Normal"/>
    <w:qFormat/>
    <w:rsid w:val="00DE35A0"/>
    <w:pPr>
      <w:spacing w:before="240" w:after="60"/>
    </w:pPr>
    <w:rPr>
      <w:rFonts w:ascii="Times New Roman" w:hAnsi="Times New Roman"/>
      <w:b/>
      <w:sz w:val="28"/>
    </w:rPr>
  </w:style>
  <w:style w:type="character" w:customStyle="1" w:styleId="Underline">
    <w:name w:val="Underline"/>
    <w:basedOn w:val="DefaultParagraphFont"/>
    <w:qFormat/>
    <w:rsid w:val="00DE35A0"/>
    <w:rPr>
      <w:u w:val="single"/>
    </w:rPr>
  </w:style>
  <w:style w:type="paragraph" w:styleId="BalloonText">
    <w:name w:val="Balloon Text"/>
    <w:basedOn w:val="Normal"/>
    <w:link w:val="BalloonTextChar"/>
    <w:rsid w:val="00DE35A0"/>
    <w:rPr>
      <w:rFonts w:ascii="Tahoma" w:hAnsi="Tahoma" w:cs="Tahoma"/>
      <w:sz w:val="16"/>
      <w:szCs w:val="16"/>
    </w:rPr>
  </w:style>
  <w:style w:type="character" w:customStyle="1" w:styleId="BalloonTextChar">
    <w:name w:val="Balloon Text Char"/>
    <w:basedOn w:val="DefaultParagraphFont"/>
    <w:link w:val="BalloonText"/>
    <w:rsid w:val="00DE35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35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35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35A0"/>
    <w:rPr>
      <w:b/>
      <w:color w:val="660033"/>
      <w:spacing w:val="0"/>
    </w:rPr>
  </w:style>
  <w:style w:type="paragraph" w:customStyle="1" w:styleId="Nameditemlist">
    <w:name w:val="Named item list"/>
    <w:basedOn w:val="BodyText"/>
    <w:qFormat/>
    <w:rsid w:val="00DE35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1702</Words>
  <Characters>10526</Characters>
  <Application>Microsoft Office Word</Application>
  <DocSecurity>0</DocSecurity>
  <Lines>478</Lines>
  <Paragraphs>265</Paragraphs>
  <ScaleCrop>false</ScaleCrop>
  <Company>Author-it Software Corporation Ltd.</Company>
  <LinksUpToDate>false</LinksUpToDate>
  <CharactersWithSpaces>11963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SIFOHS007A Identify hazards and assess risks in a cemetery or crematorium</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2012-10-11T18:11:00Z</dcterms:created>
  <dcterms:modified xsi:type="dcterms:W3CDTF">2012-10-11T18:11:00Z</dcterms:modified>
</cp:coreProperties>
</file>