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82F" w:rsidP="00D6082F">
      <w:pPr>
        <w:pStyle w:val="Title"/>
      </w:pPr>
      <w:r>
        <w:fldChar w:fldCharType="begin"/>
      </w:r>
      <w:r>
        <w:instrText xml:space="preserve"> TITLE   \* MERGEFORMAT </w:instrText>
      </w:r>
      <w:r>
        <w:fldChar w:fldCharType="separate"/>
      </w:r>
      <w:r>
        <w:t>SIFMWK014A Treat the arterial system</w:t>
      </w:r>
      <w:r>
        <w:fldChar w:fldCharType="end"/>
      </w:r>
    </w:p>
    <w:p w:rsidR="00D6082F" w:rsidP="00D6082F">
      <w:pPr>
        <w:pStyle w:val="Version"/>
        <w:sectPr w:rsidSect="007B12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12B6" w:rsidP="007B12B6">
      <w:pPr>
        <w:pStyle w:val="SuperHeading"/>
      </w:pPr>
      <w:r w:rsidRPr="007B12B6">
        <w:t>SIFMWK014A Treat the arterial system</w:t>
      </w:r>
    </w:p>
    <w:p w:rsidR="00000000" w:rsidRPr="007B12B6" w:rsidP="007B12B6">
      <w:pPr>
        <w:pStyle w:val="SuperHeading"/>
      </w:pPr>
    </w:p>
    <w:p w:rsidR="00000000" w:rsidRPr="007B12B6" w:rsidP="007B12B6">
      <w:pPr>
        <w:pStyle w:val="Heading1"/>
      </w:pPr>
      <w:bookmarkStart w:id="1" w:name="O_137091"/>
      <w:bookmarkEnd w:id="1"/>
      <w:r w:rsidRPr="007B12B6">
        <w:t>Modification History</w:t>
      </w:r>
    </w:p>
    <w:p w:rsidR="00000000" w:rsidRPr="007B12B6" w:rsidP="007B12B6">
      <w:pPr>
        <w:pStyle w:val="BodyText"/>
      </w:pPr>
      <w:r w:rsidRPr="007B12B6">
        <w:t>Not applicable.</w:t>
      </w:r>
    </w:p>
    <w:p w:rsidR="00000000" w:rsidRPr="007B12B6" w:rsidP="007B12B6">
      <w:pPr>
        <w:pStyle w:val="AllowPageBreak"/>
      </w:pPr>
    </w:p>
    <w:p w:rsidR="00000000" w:rsidRPr="007B12B6" w:rsidP="007B12B6">
      <w:pPr>
        <w:pStyle w:val="Heading1"/>
      </w:pPr>
      <w:bookmarkStart w:id="2" w:name="O_137092"/>
      <w:bookmarkEnd w:id="2"/>
      <w:r w:rsidRPr="007B12B6">
        <w:t>Unit Descriptor</w:t>
      </w:r>
    </w:p>
    <w:tbl>
      <w:tblPr>
        <w:tblW w:w="0" w:type="auto"/>
        <w:tblLayout w:type="fixed"/>
        <w:tblCellMar>
          <w:left w:w="62" w:type="dxa"/>
          <w:right w:w="62" w:type="dxa"/>
        </w:tblCellMar>
        <w:tblLook w:val="0000"/>
      </w:tblPr>
      <w:tblGrid>
        <w:gridCol w:w="2836"/>
        <w:gridCol w:w="6344"/>
      </w:tblGrid>
      <w:tr w:rsidTr="00D608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t>This unit describes the performance outcomes, skills and knowledge required to identify appropriate arterial emb</w:t>
            </w:r>
            <w:r w:rsidRPr="007B12B6">
              <w:t xml:space="preserve">alming procedures and perform arterial embalming on both autopsied and non-autopsied cases using appropriate techniques. </w:t>
            </w:r>
          </w:p>
        </w:tc>
      </w:tr>
      <w:tr w:rsidTr="00D608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B12B6" w:rsidP="007B12B6">
            <w:pPr>
              <w:pStyle w:val="BodyText"/>
            </w:pPr>
          </w:p>
        </w:tc>
      </w:tr>
    </w:tbl>
    <w:p w:rsidR="00000000" w:rsidRPr="007B12B6" w:rsidP="007B12B6">
      <w:pPr>
        <w:pStyle w:val="BodyText"/>
      </w:pPr>
    </w:p>
    <w:p w:rsidR="00000000" w:rsidRPr="007B12B6" w:rsidP="007B12B6">
      <w:pPr>
        <w:pStyle w:val="AllowPageBreak"/>
      </w:pPr>
    </w:p>
    <w:p w:rsidR="00000000" w:rsidRPr="007B12B6" w:rsidP="007B12B6">
      <w:pPr>
        <w:pStyle w:val="Heading1"/>
      </w:pPr>
      <w:bookmarkStart w:id="3" w:name="O_137093"/>
      <w:bookmarkEnd w:id="3"/>
      <w:r w:rsidRPr="007B12B6">
        <w:t>Application of the Unit</w:t>
      </w:r>
    </w:p>
    <w:tbl>
      <w:tblPr>
        <w:tblW w:w="0" w:type="auto"/>
        <w:tblLayout w:type="fixed"/>
        <w:tblCellMar>
          <w:left w:w="62" w:type="dxa"/>
          <w:right w:w="62" w:type="dxa"/>
        </w:tblCellMar>
        <w:tblLook w:val="0000"/>
      </w:tblPr>
      <w:tblGrid>
        <w:gridCol w:w="2836"/>
        <w:gridCol w:w="6344"/>
      </w:tblGrid>
      <w:tr w:rsidTr="00D608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t>This unit applies to embalming staff and involves working autonomously with a high level of responsibility.</w:t>
            </w:r>
          </w:p>
        </w:tc>
      </w:tr>
      <w:tr w:rsidTr="00D608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B12B6" w:rsidP="007B12B6">
            <w:pPr>
              <w:pStyle w:val="BodyText"/>
            </w:pPr>
          </w:p>
        </w:tc>
      </w:tr>
    </w:tbl>
    <w:p w:rsidR="00000000" w:rsidRPr="007B12B6" w:rsidP="007B12B6">
      <w:pPr>
        <w:pStyle w:val="BodyText"/>
      </w:pPr>
    </w:p>
    <w:p w:rsidR="00000000" w:rsidRPr="007B12B6" w:rsidP="007B12B6">
      <w:pPr>
        <w:pStyle w:val="AllowPageBreak"/>
      </w:pPr>
    </w:p>
    <w:p w:rsidR="00000000" w:rsidRPr="007B12B6" w:rsidP="007B12B6">
      <w:pPr>
        <w:pStyle w:val="Heading1"/>
      </w:pPr>
      <w:bookmarkStart w:id="4" w:name="O_137094"/>
      <w:bookmarkEnd w:id="4"/>
      <w:r w:rsidRPr="007B12B6">
        <w:t>Licensing/Regulatory Information</w:t>
      </w:r>
    </w:p>
    <w:p w:rsidR="00000000" w:rsidRPr="007B12B6" w:rsidP="007B12B6">
      <w:pPr>
        <w:pStyle w:val="BodyText"/>
      </w:pPr>
      <w:r w:rsidRPr="007B12B6">
        <w:t>Not applicable.</w:t>
      </w:r>
    </w:p>
    <w:p w:rsidR="00000000" w:rsidRPr="007B12B6" w:rsidP="007B12B6">
      <w:pPr>
        <w:pStyle w:val="AllowPageBreak"/>
      </w:pPr>
    </w:p>
    <w:p w:rsidR="00000000" w:rsidRPr="007B12B6" w:rsidP="007B12B6">
      <w:pPr>
        <w:pStyle w:val="Heading1"/>
      </w:pPr>
      <w:bookmarkStart w:id="5" w:name="O_137095"/>
      <w:bookmarkEnd w:id="5"/>
      <w:r w:rsidRPr="007B12B6">
        <w:t>Pre-Requisites</w:t>
      </w:r>
    </w:p>
    <w:tbl>
      <w:tblPr>
        <w:tblW w:w="0" w:type="auto"/>
        <w:tblLayout w:type="fixed"/>
        <w:tblCellMar>
          <w:left w:w="62" w:type="dxa"/>
          <w:right w:w="62" w:type="dxa"/>
        </w:tblCellMar>
        <w:tblLook w:val="0000"/>
      </w:tblPr>
      <w:tblGrid>
        <w:gridCol w:w="2836"/>
        <w:gridCol w:w="6344"/>
      </w:tblGrid>
      <w:tr w:rsidTr="00D608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t>Nil</w:t>
            </w:r>
          </w:p>
        </w:tc>
      </w:tr>
      <w:tr w:rsidTr="00D608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B12B6" w:rsidP="007B12B6">
            <w:pPr>
              <w:pStyle w:val="BodyText"/>
            </w:pPr>
          </w:p>
        </w:tc>
      </w:tr>
    </w:tbl>
    <w:p w:rsidR="00000000" w:rsidRPr="007B12B6" w:rsidP="007B12B6">
      <w:pPr>
        <w:pStyle w:val="BodyText"/>
      </w:pPr>
    </w:p>
    <w:p w:rsidR="00000000" w:rsidRPr="007B12B6" w:rsidP="007B12B6">
      <w:pPr>
        <w:pStyle w:val="AllowPageBreak"/>
      </w:pPr>
    </w:p>
    <w:p w:rsidR="00000000" w:rsidRPr="007B12B6" w:rsidP="007B12B6">
      <w:pPr>
        <w:pStyle w:val="Heading1"/>
      </w:pPr>
      <w:bookmarkStart w:id="6" w:name="O_137096"/>
      <w:bookmarkEnd w:id="6"/>
      <w:r w:rsidRPr="007B12B6">
        <w:t>Employability Skills Information</w:t>
      </w:r>
    </w:p>
    <w:tbl>
      <w:tblPr>
        <w:tblW w:w="0" w:type="auto"/>
        <w:tblLayout w:type="fixed"/>
        <w:tblCellMar>
          <w:left w:w="62" w:type="dxa"/>
          <w:right w:w="62" w:type="dxa"/>
        </w:tblCellMar>
        <w:tblLook w:val="0000"/>
      </w:tblPr>
      <w:tblGrid>
        <w:gridCol w:w="2836"/>
        <w:gridCol w:w="6344"/>
      </w:tblGrid>
      <w:tr w:rsidTr="00D608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t>This unit contains employability skills.</w:t>
            </w:r>
          </w:p>
        </w:tc>
      </w:tr>
      <w:tr w:rsidTr="00D608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B12B6" w:rsidP="007B12B6">
            <w:pPr>
              <w:pStyle w:val="BodyText"/>
            </w:pPr>
          </w:p>
        </w:tc>
      </w:tr>
    </w:tbl>
    <w:p w:rsidR="00000000" w:rsidRPr="007B12B6" w:rsidP="007B12B6">
      <w:pPr>
        <w:pStyle w:val="BodyText"/>
      </w:pPr>
    </w:p>
    <w:p w:rsidR="00000000" w:rsidRPr="007B12B6" w:rsidP="007B12B6">
      <w:pPr>
        <w:pStyle w:val="AllowPageBreak"/>
      </w:pPr>
    </w:p>
    <w:p w:rsidR="00000000" w:rsidRPr="007B12B6" w:rsidP="007B12B6">
      <w:pPr>
        <w:pStyle w:val="Heading1"/>
      </w:pPr>
      <w:bookmarkStart w:id="7" w:name="O_137097"/>
      <w:bookmarkEnd w:id="7"/>
      <w:r w:rsidRPr="007B12B6">
        <w:t>Elements and Performance Criteria Pre-Content</w:t>
      </w:r>
    </w:p>
    <w:tbl>
      <w:tblPr>
        <w:tblW w:w="9319" w:type="dxa"/>
        <w:tblLayout w:type="fixed"/>
        <w:tblCellMar>
          <w:left w:w="62" w:type="dxa"/>
          <w:right w:w="62" w:type="dxa"/>
        </w:tblCellMar>
        <w:tblLook w:val="0000"/>
      </w:tblPr>
      <w:tblGrid>
        <w:gridCol w:w="2836"/>
        <w:gridCol w:w="6483"/>
      </w:tblGrid>
      <w:tr w:rsidTr="00D6082F">
        <w:tblPrEx>
          <w:tblW w:w="9319"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t>Elements describe the essential outcomes of a unit of competency.</w:t>
            </w:r>
          </w:p>
        </w:tc>
        <w:tc>
          <w:tcPr>
            <w:tcW w:w="6483" w:type="dxa"/>
            <w:tcBorders>
              <w:top w:val="nil"/>
              <w:left w:val="nil"/>
              <w:bottom w:val="nil"/>
              <w:right w:val="nil"/>
            </w:tcBorders>
            <w:tcMar>
              <w:top w:w="0" w:type="dxa"/>
              <w:left w:w="62" w:type="dxa"/>
              <w:bottom w:w="0" w:type="dxa"/>
              <w:right w:w="62" w:type="dxa"/>
            </w:tcMar>
          </w:tcPr>
          <w:p w:rsidR="00000000" w:rsidRPr="007B12B6" w:rsidP="007B12B6">
            <w:pPr>
              <w:pStyle w:val="BodyText"/>
            </w:pPr>
            <w:r w:rsidRPr="007B12B6">
              <w:t>Performance criteria describe the required performance needed to demonstrate achievement of the element. Where bold italicised text is used, further information is detailed in the required skills and knowledge and/or the range statement. Assessment of perf</w:t>
            </w:r>
            <w:r w:rsidRPr="007B12B6">
              <w:t>ormance is to be consistent with the evidence guide.</w:t>
            </w:r>
          </w:p>
        </w:tc>
      </w:tr>
    </w:tbl>
    <w:p w:rsidR="00000000" w:rsidRPr="007B12B6" w:rsidP="007B12B6">
      <w:pPr>
        <w:pStyle w:val="BodyText"/>
      </w:pPr>
    </w:p>
    <w:p w:rsidR="00000000" w:rsidRPr="007B12B6" w:rsidP="007B12B6">
      <w:pPr>
        <w:pStyle w:val="AllowPageBreak"/>
      </w:pPr>
    </w:p>
    <w:p w:rsidR="00000000" w:rsidRPr="007B12B6" w:rsidP="007B12B6">
      <w:pPr>
        <w:pStyle w:val="Heading1"/>
      </w:pPr>
      <w:bookmarkStart w:id="8" w:name="O_137098"/>
      <w:bookmarkEnd w:id="8"/>
      <w:r w:rsidRPr="007B12B6">
        <w:t>Elements and Performance Criteria</w:t>
      </w:r>
    </w:p>
    <w:tbl>
      <w:tblPr>
        <w:tblW w:w="9319" w:type="dxa"/>
        <w:tblLayout w:type="fixed"/>
        <w:tblCellMar>
          <w:left w:w="62" w:type="dxa"/>
          <w:right w:w="62" w:type="dxa"/>
        </w:tblCellMar>
        <w:tblLook w:val="0000"/>
      </w:tblPr>
      <w:tblGrid>
        <w:gridCol w:w="426"/>
        <w:gridCol w:w="2410"/>
        <w:gridCol w:w="706"/>
        <w:gridCol w:w="5777"/>
      </w:tblGrid>
      <w:tr w:rsidTr="00D6082F">
        <w:tblPrEx>
          <w:tblW w:w="9319"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B12B6" w:rsidP="007B12B6">
            <w:pPr>
              <w:pStyle w:val="List"/>
            </w:pPr>
            <w:r w:rsidRPr="007B12B6">
              <w:rPr>
                <w:rStyle w:val="SpecialBold"/>
              </w:rPr>
              <w:t>ELEMENT</w:t>
            </w:r>
          </w:p>
        </w:tc>
        <w:tc>
          <w:tcPr>
            <w:tcW w:w="6483" w:type="dxa"/>
            <w:gridSpan w:val="2"/>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rPr>
                <w:rStyle w:val="SpecialBold"/>
              </w:rPr>
              <w:t>PERFORMANCE CRITERIA</w:t>
            </w:r>
          </w:p>
        </w:tc>
      </w:tr>
      <w:tr w:rsidTr="00D6082F">
        <w:tblPrEx>
          <w:tblW w:w="931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931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1</w:t>
            </w:r>
          </w:p>
        </w:tc>
        <w:tc>
          <w:tcPr>
            <w:tcW w:w="2410" w:type="dxa"/>
            <w:vMerge w:val="restart"/>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Prepare to perform arterial embalming.</w:t>
            </w: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1.1</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 xml:space="preserve">Identify and prepare mortuary area and appropriate </w:t>
            </w:r>
            <w:r w:rsidRPr="007B12B6">
              <w:rPr>
                <w:rStyle w:val="BoldandItalics"/>
              </w:rPr>
              <w:t>mortuary instruments and equipment</w:t>
            </w:r>
            <w:r w:rsidRPr="007B12B6">
              <w:t xml:space="preserve"> according to </w:t>
            </w:r>
            <w:r w:rsidRPr="007B12B6">
              <w:rPr>
                <w:rStyle w:val="BoldandItalics"/>
              </w:rPr>
              <w:t>workplace policies and procedures</w:t>
            </w:r>
            <w:r w:rsidRPr="007B12B6">
              <w:t xml:space="preserve">, </w:t>
            </w:r>
            <w:r w:rsidRPr="007B12B6">
              <w:rPr>
                <w:rStyle w:val="BoldandItalics"/>
              </w:rPr>
              <w:t>relevant legislation</w:t>
            </w:r>
            <w:r w:rsidRPr="007B12B6">
              <w:t xml:space="preserve"> and </w:t>
            </w:r>
            <w:r w:rsidRPr="007B12B6">
              <w:rPr>
                <w:rStyle w:val="BoldandItalics"/>
              </w:rPr>
              <w:t>infection control practices</w:t>
            </w:r>
            <w:r w:rsidRPr="007B12B6">
              <w:t>.</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1.2</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 xml:space="preserve">Prepare and use </w:t>
            </w:r>
            <w:r w:rsidRPr="007B12B6">
              <w:rPr>
                <w:rStyle w:val="BoldandItalics"/>
              </w:rPr>
              <w:t>personal protective equipment</w:t>
            </w:r>
            <w:r w:rsidRPr="007B12B6">
              <w:t xml:space="preserve"> according to workplace policies and procedures, and relevant legis</w:t>
            </w:r>
            <w:r w:rsidRPr="007B12B6">
              <w:t>lation.</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1.3</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 xml:space="preserve">Identify </w:t>
            </w:r>
            <w:r w:rsidRPr="007B12B6">
              <w:rPr>
                <w:rStyle w:val="BoldandItalics"/>
              </w:rPr>
              <w:t>type of autopsy</w:t>
            </w:r>
            <w:r w:rsidRPr="007B12B6">
              <w:t xml:space="preserve"> performed and evaluate </w:t>
            </w:r>
            <w:r w:rsidRPr="007B12B6">
              <w:rPr>
                <w:rStyle w:val="BoldandItalics"/>
              </w:rPr>
              <w:t>embalming implications</w:t>
            </w:r>
            <w:r w:rsidRPr="007B12B6">
              <w:t>.</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1.4</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 xml:space="preserve">Remove </w:t>
            </w:r>
            <w:r w:rsidRPr="007B12B6">
              <w:rPr>
                <w:rStyle w:val="BoldandItalics"/>
              </w:rPr>
              <w:t>invasive and non</w:t>
            </w:r>
            <w:r w:rsidRPr="007B12B6">
              <w:t>-</w:t>
            </w:r>
            <w:r w:rsidRPr="007B12B6">
              <w:rPr>
                <w:rStyle w:val="BoldandItalics"/>
              </w:rPr>
              <w:t>invasive medical paraphernalia</w:t>
            </w:r>
            <w:r w:rsidRPr="007B12B6">
              <w:t xml:space="preserve"> as required.</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1.5</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Remove sutures from autopsied cases and open chest using appropriate techniques.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1.6</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Remove viscera bag from chest cavity of autopsied cases and clean, disinfect and dry viscera according to workplace policies and procedures, and relevant legislation.</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1.7</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Cleanse and disinfect body and set facial features according to workplace policies and procedures, and relevant legislation.</w:t>
            </w:r>
          </w:p>
        </w:tc>
      </w:tr>
      <w:tr w:rsidTr="00D6082F">
        <w:tblPrEx>
          <w:tblW w:w="931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w:t>
            </w:r>
          </w:p>
        </w:tc>
        <w:tc>
          <w:tcPr>
            <w:tcW w:w="2410" w:type="dxa"/>
            <w:vMerge w:val="restart"/>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Perform arterial embalming.</w:t>
            </w: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2.1</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Locate vessels to be used for arterial injection and drainage using appropriate techniques.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w:t>
            </w:r>
            <w:r w:rsidRPr="007B12B6">
              <w:t>.2</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Mix and prepare arterial embalming chemicals according to pre-embalming case analysis.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2.3</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Determine injection pressure and rate of flow according to pre-embalming case analysis.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2.4</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Raise identified vessels.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2.5</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Perform aspiration of cavities using appropriate techniques.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2.6</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Maintain effectiveness of arterial injection and drainage and vary fluid strength as required.</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2.7</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 xml:space="preserve">Apply </w:t>
            </w:r>
            <w:r w:rsidRPr="007B12B6">
              <w:rPr>
                <w:rStyle w:val="BoldandItalics"/>
              </w:rPr>
              <w:t>treatments for areas not reached by arterial fluid</w:t>
            </w:r>
            <w:r w:rsidRPr="007B12B6">
              <w:t xml:space="preserve"> using appropriate treatments.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2.8</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Return viscera to body cavity of autopsied cases using appropriate techniques.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2.9</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 xml:space="preserve">Apply </w:t>
            </w:r>
            <w:r w:rsidRPr="007B12B6">
              <w:rPr>
                <w:rStyle w:val="BoldandItalics"/>
              </w:rPr>
              <w:t>appropriate suturing techniques</w:t>
            </w:r>
            <w:r w:rsidRPr="007B12B6">
              <w:t xml:space="preserve"> to re-suture autopsied cases as required and close incisions with sealing powder.</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2.10</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Re-cleanse and disinfect the body according to workplace policies and procedures.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2.11</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Identify and manage hazards, complications and problems according to workplace policies and procedures, and relevant legislation.</w:t>
            </w:r>
          </w:p>
        </w:tc>
      </w:tr>
      <w:tr w:rsidTr="00D6082F">
        <w:tblPrEx>
          <w:tblW w:w="931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931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3</w:t>
            </w:r>
          </w:p>
        </w:tc>
        <w:tc>
          <w:tcPr>
            <w:tcW w:w="2410" w:type="dxa"/>
            <w:vMerge w:val="restart"/>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Complete post-embalming case analysis and clean up.</w:t>
            </w: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3.1</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Perform case analysis to evaluate success of the procedure and determine implications for further embalming procedures.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3.2</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 xml:space="preserve">Complete </w:t>
            </w:r>
            <w:r w:rsidRPr="007B12B6">
              <w:rPr>
                <w:rStyle w:val="BoldandItalics"/>
              </w:rPr>
              <w:t>case analysis report</w:t>
            </w:r>
            <w:r w:rsidRPr="007B12B6">
              <w:t xml:space="preserve"> according to workplace policies and procedu</w:t>
            </w:r>
            <w:r w:rsidRPr="007B12B6">
              <w:t>res.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3.3</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Clean, disinfect or sterilise instruments and equipment according to workplace policies and procedures, and relevant legislation.</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3.4</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Dispose of waste materials according to workplace policies and procedures, and relevant legislation.</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3.5</w:t>
            </w:r>
          </w:p>
        </w:tc>
        <w:tc>
          <w:tcPr>
            <w:tcW w:w="5777"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Store instruments and equipment according to workplace policies and procedures and report faults.</w:t>
            </w:r>
          </w:p>
        </w:tc>
      </w:tr>
      <w:tr w:rsidTr="00D6082F">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7B12B6">
            <w:pPr>
              <w:pStyle w:val="List"/>
              <w:rPr>
                <w:lang w:val="en-NZ"/>
              </w:rPr>
            </w:pPr>
            <w:r w:rsidRPr="007B12B6">
              <w:t>3.6</w:t>
            </w:r>
          </w:p>
        </w:tc>
        <w:tc>
          <w:tcPr>
            <w:tcW w:w="5777" w:type="dxa"/>
            <w:tcBorders>
              <w:top w:val="nil"/>
              <w:left w:val="nil"/>
              <w:bottom w:val="nil"/>
              <w:right w:val="nil"/>
            </w:tcBorders>
            <w:tcMar>
              <w:top w:w="0" w:type="dxa"/>
              <w:left w:w="62" w:type="dxa"/>
              <w:bottom w:w="0" w:type="dxa"/>
              <w:right w:w="62" w:type="dxa"/>
            </w:tcMar>
          </w:tcPr>
          <w:p w:rsidR="00000000" w:rsidRPr="007B12B6" w:rsidP="007B12B6">
            <w:pPr>
              <w:pStyle w:val="List"/>
            </w:pPr>
            <w:r w:rsidRPr="007B12B6">
              <w:t>Clean and disinfect mortuary area according to workplace policies and procedures, and relevant legislation.</w:t>
            </w:r>
          </w:p>
        </w:tc>
      </w:tr>
    </w:tbl>
    <w:p w:rsidR="00000000" w:rsidRPr="007B12B6" w:rsidP="007B12B6">
      <w:pPr>
        <w:pStyle w:val="BodyText"/>
      </w:pPr>
    </w:p>
    <w:p w:rsidR="00000000" w:rsidRPr="007B12B6" w:rsidP="007B12B6">
      <w:pPr>
        <w:pStyle w:val="AllowPageBreak"/>
      </w:pPr>
    </w:p>
    <w:p w:rsidR="00000000" w:rsidRPr="007B12B6" w:rsidP="007B12B6">
      <w:pPr>
        <w:pStyle w:val="Heading1"/>
      </w:pPr>
      <w:bookmarkStart w:id="9" w:name="O_137099"/>
      <w:bookmarkEnd w:id="9"/>
      <w:r w:rsidRPr="007B12B6">
        <w:t>Required Skills and Kno</w:t>
      </w:r>
      <w:r w:rsidRPr="007B12B6">
        <w:t>wledge</w:t>
      </w:r>
    </w:p>
    <w:tbl>
      <w:tblPr>
        <w:tblW w:w="0" w:type="auto"/>
        <w:tblLayout w:type="fixed"/>
        <w:tblCellMar>
          <w:left w:w="62" w:type="dxa"/>
          <w:right w:w="62" w:type="dxa"/>
        </w:tblCellMar>
        <w:tblLook w:val="0000"/>
      </w:tblPr>
      <w:tblGrid>
        <w:gridCol w:w="9180"/>
      </w:tblGrid>
      <w:tr w:rsidTr="00D6082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REQUIRED SKILLS AND KNOWLEDGE</w:t>
            </w:r>
          </w:p>
        </w:tc>
      </w:tr>
      <w:tr w:rsidTr="00D608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t>This section describes the skills and knowledge required for this unit.</w:t>
            </w:r>
          </w:p>
        </w:tc>
      </w:tr>
      <w:tr w:rsidTr="00D608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B12B6" w:rsidP="007B12B6">
            <w:pPr>
              <w:pStyle w:val="BodyText"/>
            </w:pPr>
            <w:r w:rsidRPr="007B12B6">
              <w:rPr>
                <w:rStyle w:val="SpecialBold"/>
              </w:rPr>
              <w:t>Required skills</w:t>
            </w:r>
            <w:r w:rsidRPr="007B12B6">
              <w:t xml:space="preserve"> </w:t>
            </w:r>
          </w:p>
          <w:p w:rsidR="00000000" w:rsidRPr="007B12B6" w:rsidP="007B12B6">
            <w:pPr>
              <w:pStyle w:val="ListBullet"/>
            </w:pPr>
            <w:r w:rsidRPr="007B12B6">
              <w:t xml:space="preserve">problem-solving skills to identify and evaluate effectiveness of arterial embalming </w:t>
            </w:r>
            <w:r w:rsidRPr="007B12B6">
              <w:t>procedure and take corrective action where required</w:t>
            </w:r>
          </w:p>
          <w:p w:rsidR="00000000" w:rsidRPr="007B12B6" w:rsidP="007B12B6">
            <w:pPr>
              <w:pStyle w:val="ListBullet"/>
            </w:pPr>
            <w:r w:rsidRPr="007B12B6">
              <w:t xml:space="preserve">literacy and numeracy skills to complete case analysis report and mix and apply embalming chemicals </w:t>
            </w:r>
          </w:p>
          <w:p w:rsidR="00000000" w:rsidRPr="007B12B6" w:rsidP="007B12B6">
            <w:pPr>
              <w:pStyle w:val="ListBullet"/>
            </w:pPr>
            <w:r w:rsidRPr="007B12B6">
              <w:t>planning and organisational skills to conduct all procedures according to pre-embalming case analysis</w:t>
            </w:r>
          </w:p>
          <w:p w:rsidR="00000000" w:rsidP="007B12B6">
            <w:pPr>
              <w:pStyle w:val="ListBullet"/>
              <w:rPr>
                <w:lang w:val="en-NZ"/>
              </w:rPr>
            </w:pPr>
            <w:r w:rsidRPr="007B12B6">
              <w:t>self-management skills to monitor own response to dealing with deceased bodies and take corrective action.</w:t>
            </w:r>
          </w:p>
        </w:tc>
      </w:tr>
      <w:tr w:rsidTr="00D608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B12B6" w:rsidP="007B12B6">
            <w:pPr>
              <w:pStyle w:val="BodyText"/>
            </w:pPr>
            <w:r w:rsidRPr="007B12B6">
              <w:rPr>
                <w:rStyle w:val="SpecialBold"/>
              </w:rPr>
              <w:t>Required knowledge</w:t>
            </w:r>
          </w:p>
          <w:p w:rsidR="00000000" w:rsidRPr="007B12B6" w:rsidP="007B12B6">
            <w:pPr>
              <w:pStyle w:val="ListBullet"/>
            </w:pPr>
            <w:r w:rsidRPr="007B12B6">
              <w:t>infection control practices and procedures</w:t>
            </w:r>
          </w:p>
          <w:p w:rsidR="00000000" w:rsidRPr="007B12B6" w:rsidP="007B12B6">
            <w:pPr>
              <w:pStyle w:val="ListBullet"/>
            </w:pPr>
            <w:r w:rsidRPr="007B12B6">
              <w:t>relevant workplace policies and procedures</w:t>
            </w:r>
          </w:p>
          <w:p w:rsidR="00000000" w:rsidRPr="007B12B6" w:rsidP="007B12B6">
            <w:pPr>
              <w:pStyle w:val="ListBullet"/>
            </w:pPr>
            <w:r w:rsidRPr="007B12B6">
              <w:t>anatomy, physiology and post-mortem chan</w:t>
            </w:r>
            <w:r w:rsidRPr="007B12B6">
              <w:t>ges</w:t>
            </w:r>
          </w:p>
          <w:p w:rsidR="00000000" w:rsidRPr="007B12B6" w:rsidP="007B12B6">
            <w:pPr>
              <w:pStyle w:val="ListBullet"/>
            </w:pPr>
            <w:r w:rsidRPr="007B12B6">
              <w:t>effects of embalming on various causes of death, medical treatments and procedures</w:t>
            </w:r>
          </w:p>
          <w:p w:rsidR="00000000" w:rsidRPr="007B12B6" w:rsidP="007B12B6">
            <w:pPr>
              <w:pStyle w:val="ListBullet"/>
            </w:pPr>
            <w:r w:rsidRPr="007B12B6">
              <w:t xml:space="preserve">autopsy procedures and associated embalming implications </w:t>
            </w:r>
          </w:p>
          <w:p w:rsidR="00000000" w:rsidRPr="007B12B6" w:rsidP="007B12B6">
            <w:pPr>
              <w:pStyle w:val="ListBullet"/>
            </w:pPr>
            <w:r w:rsidRPr="007B12B6">
              <w:t>body examination techniques</w:t>
            </w:r>
          </w:p>
          <w:p w:rsidR="00000000" w:rsidRPr="007B12B6" w:rsidP="007B12B6">
            <w:pPr>
              <w:pStyle w:val="ListBullet"/>
            </w:pPr>
            <w:r w:rsidRPr="007B12B6">
              <w:t>mortuary equipment, instruments and materials</w:t>
            </w:r>
          </w:p>
          <w:p w:rsidR="00000000" w:rsidRPr="007B12B6" w:rsidP="007B12B6">
            <w:pPr>
              <w:pStyle w:val="ListBullet"/>
            </w:pPr>
            <w:r w:rsidRPr="007B12B6">
              <w:t xml:space="preserve">funeral services industry parameters </w:t>
            </w:r>
            <w:r w:rsidRPr="007B12B6">
              <w:t>and protocols for dealing with the deceased</w:t>
            </w:r>
          </w:p>
          <w:p w:rsidR="00000000" w:rsidRPr="007B12B6" w:rsidP="007B12B6">
            <w:pPr>
              <w:pStyle w:val="ListBullet"/>
            </w:pPr>
            <w:r w:rsidRPr="007B12B6">
              <w:t>broad working knowledge of relevant federal, state or territory, and local government legislation and regulations relating to OHS, infection control and handling human remains.</w:t>
            </w:r>
          </w:p>
        </w:tc>
      </w:tr>
    </w:tbl>
    <w:p w:rsidR="00D6082F" w:rsidP="007B12B6">
      <w:pPr>
        <w:pStyle w:val="BodyText"/>
      </w:pPr>
    </w:p>
    <w:p w:rsidR="00D6082F" w:rsidP="007B12B6">
      <w:pPr>
        <w:pStyle w:val="BodyText"/>
      </w:pPr>
    </w:p>
    <w:p w:rsidR="00000000" w:rsidRPr="007B12B6" w:rsidP="007B12B6">
      <w:pPr>
        <w:pStyle w:val="Heading1"/>
      </w:pPr>
      <w:bookmarkStart w:id="10" w:name="O_137100"/>
      <w:bookmarkEnd w:id="10"/>
      <w:r w:rsidRPr="007B12B6">
        <w:t>Evidence Guide</w:t>
      </w:r>
    </w:p>
    <w:tbl>
      <w:tblPr>
        <w:tblW w:w="0" w:type="auto"/>
        <w:tblLayout w:type="fixed"/>
        <w:tblCellMar>
          <w:left w:w="62" w:type="dxa"/>
          <w:right w:w="62" w:type="dxa"/>
        </w:tblCellMar>
        <w:tblLook w:val="0000"/>
      </w:tblPr>
      <w:tblGrid>
        <w:gridCol w:w="3345"/>
        <w:gridCol w:w="5835"/>
      </w:tblGrid>
      <w:tr w:rsidTr="00D6082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EVIDENCE GUIDE</w:t>
            </w:r>
          </w:p>
        </w:tc>
      </w:tr>
      <w:tr w:rsidTr="00D608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t>The evidence guide provides advice on assessment and must be read in conjunction with the performance criteria, required skills and knowledge, range statement and the Assessment Guidelines for the Training Package.</w:t>
            </w:r>
          </w:p>
        </w:tc>
      </w:tr>
      <w:tr w:rsidTr="00D608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BodyText"/>
            </w:pPr>
            <w:r w:rsidRPr="007B12B6">
              <w:t>Evidence of the following is essential:</w:t>
            </w:r>
          </w:p>
          <w:p w:rsidR="00000000" w:rsidRPr="007B12B6" w:rsidP="007B12B6">
            <w:pPr>
              <w:pStyle w:val="ListBullet"/>
            </w:pPr>
            <w:r w:rsidRPr="007B12B6">
              <w:t xml:space="preserve">ability to identify treatment requirements through a pre-embalming case analysis and to perform arterial treatments using </w:t>
            </w:r>
            <w:r w:rsidRPr="007B12B6">
              <w:t>correct techniques and following OHS and infection control practices</w:t>
            </w:r>
          </w:p>
          <w:p w:rsidR="00000000" w:rsidRPr="007B12B6" w:rsidP="007B12B6">
            <w:pPr>
              <w:pStyle w:val="ListBullet"/>
            </w:pPr>
            <w:r w:rsidRPr="007B12B6">
              <w:t xml:space="preserve">ability to prepare mortuary area and select and use the required instruments and equipment </w:t>
            </w:r>
          </w:p>
          <w:p w:rsidR="00000000" w:rsidRPr="007B12B6" w:rsidP="007B12B6">
            <w:pPr>
              <w:pStyle w:val="ListBullet"/>
            </w:pPr>
            <w:r w:rsidRPr="007B12B6">
              <w:t>the cleaning, disinfecting and sterilising of the mortuary area, instruments and equipment at conclusion of the treatment</w:t>
            </w:r>
          </w:p>
          <w:p w:rsidR="00000000" w:rsidRPr="007B12B6" w:rsidP="007B12B6">
            <w:pPr>
              <w:pStyle w:val="ListBullet"/>
            </w:pPr>
            <w:r w:rsidRPr="007B12B6">
              <w:t>completion of a case analysis report</w:t>
            </w:r>
          </w:p>
          <w:p w:rsidR="00000000" w:rsidRPr="007B12B6" w:rsidP="007B12B6">
            <w:pPr>
              <w:pStyle w:val="ListBullet"/>
            </w:pPr>
            <w:r w:rsidRPr="007B12B6">
              <w:t>knowledge of infection control practices</w:t>
            </w:r>
          </w:p>
          <w:p w:rsidR="00000000" w:rsidP="007B12B6">
            <w:pPr>
              <w:pStyle w:val="ListBullet"/>
              <w:rPr>
                <w:lang w:val="en-NZ"/>
              </w:rPr>
            </w:pPr>
            <w:r w:rsidRPr="007B12B6">
              <w:t>treating the arterial system on multiple occasions to en</w:t>
            </w:r>
            <w:r w:rsidRPr="007B12B6">
              <w:t xml:space="preserve">sure consistency of performance and ability to respond to different situations. </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BodyText"/>
            </w:pPr>
            <w:r w:rsidRPr="007B12B6">
              <w:t>Assessment must ensure:</w:t>
            </w:r>
          </w:p>
          <w:p w:rsidR="00000000" w:rsidRPr="007B12B6" w:rsidP="007B12B6">
            <w:pPr>
              <w:pStyle w:val="ListBullet"/>
            </w:pPr>
            <w:r w:rsidRPr="007B12B6">
              <w:t>demonstration of skills in a mortuary facility where deceased bodies may be safely prepared and a</w:t>
            </w:r>
            <w:r w:rsidRPr="007B12B6">
              <w:t xml:space="preserve">ppropriate mortuary lighting, plumbing and ventilation requirements can be monitored and maintained </w:t>
            </w:r>
          </w:p>
          <w:p w:rsidR="00000000" w:rsidRPr="007B12B6" w:rsidP="007B12B6">
            <w:pPr>
              <w:pStyle w:val="ListBullet"/>
            </w:pPr>
            <w:r w:rsidRPr="007B12B6">
              <w:t>access to embalming equipment, instruments and chemicals</w:t>
            </w:r>
          </w:p>
          <w:p w:rsidR="00000000" w:rsidRPr="007B12B6" w:rsidP="007B12B6">
            <w:pPr>
              <w:pStyle w:val="ListBullet"/>
            </w:pPr>
            <w:r w:rsidRPr="007B12B6">
              <w:t>access to deceased bodies requiring arterial embalming, including autopsied cases</w:t>
            </w:r>
          </w:p>
          <w:p w:rsidR="00000000" w:rsidP="007B12B6">
            <w:pPr>
              <w:pStyle w:val="ListBullet"/>
              <w:rPr>
                <w:lang w:val="en-NZ"/>
              </w:rPr>
            </w:pPr>
            <w:r w:rsidRPr="007B12B6">
              <w:t>access to person</w:t>
            </w:r>
            <w:r w:rsidRPr="007B12B6">
              <w:t>al protective equipment.</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BodyText"/>
            </w:pPr>
            <w:r w:rsidRPr="007B12B6">
              <w:t xml:space="preserve">A range of assessment methods should be used to assess practical skills and knowledge. The following examples are appropriate for this unit: </w:t>
            </w:r>
          </w:p>
          <w:p w:rsidR="00000000" w:rsidRPr="007B12B6" w:rsidP="007B12B6">
            <w:pPr>
              <w:pStyle w:val="ListBullet"/>
            </w:pPr>
            <w:r w:rsidRPr="007B12B6">
              <w:t xml:space="preserve">observation of candidate completing a minimum of thirty case studies, including ten autopsied cases </w:t>
            </w:r>
          </w:p>
          <w:p w:rsidR="00000000" w:rsidRPr="007B12B6" w:rsidP="007B12B6">
            <w:pPr>
              <w:pStyle w:val="ListBullet"/>
            </w:pPr>
            <w:r w:rsidRPr="007B12B6">
              <w:t>written or verbal questioning to assess knowledge and understanding of all OHS and infection control practices and procedures</w:t>
            </w:r>
          </w:p>
          <w:p w:rsidR="00000000" w:rsidRPr="007B12B6" w:rsidP="007B12B6">
            <w:pPr>
              <w:pStyle w:val="ListBullet"/>
            </w:pPr>
            <w:r w:rsidRPr="007B12B6">
              <w:t>review of portfolios of evide</w:t>
            </w:r>
            <w:r w:rsidRPr="007B12B6">
              <w:t>nce and third-party workplace reports of on-the-job performance by the candidate.</w:t>
            </w:r>
          </w:p>
          <w:p w:rsidR="00000000" w:rsidRPr="007B12B6" w:rsidP="007B12B6">
            <w:pPr>
              <w:pStyle w:val="BodyText"/>
            </w:pPr>
            <w:r w:rsidRPr="007B12B6">
              <w:t>Holistic assessment with other units relevant to the industry sector, workplace and job role is recommended, for example:</w:t>
            </w:r>
          </w:p>
          <w:p w:rsidR="00000000" w:rsidRPr="007B12B6" w:rsidP="007B12B6">
            <w:pPr>
              <w:pStyle w:val="ListBullet"/>
            </w:pPr>
            <w:r w:rsidRPr="007B12B6">
              <w:t>SIFMWK013A Determine embalming requirements</w:t>
            </w:r>
          </w:p>
          <w:p w:rsidR="00000000" w:rsidP="007B12B6">
            <w:pPr>
              <w:pStyle w:val="ListBullet"/>
              <w:rPr>
                <w:lang w:val="en-NZ"/>
              </w:rPr>
            </w:pPr>
            <w:r w:rsidRPr="007B12B6">
              <w:t>SIFMWK0</w:t>
            </w:r>
            <w:r w:rsidRPr="007B12B6">
              <w:t>15A Treat abdominal and thoracic cavities.</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BodyText"/>
            </w:pPr>
            <w:r w:rsidRPr="007B12B6">
              <w:t>Employability skills embedded in this unit should be assessed holistically with other relevant units that make up the skill set or qualification and in the context of the job role.</w:t>
            </w:r>
          </w:p>
        </w:tc>
      </w:tr>
    </w:tbl>
    <w:p w:rsidR="00D6082F" w:rsidP="007B12B6">
      <w:pPr>
        <w:pStyle w:val="BodyText"/>
      </w:pPr>
    </w:p>
    <w:p w:rsidR="00D6082F" w:rsidP="007B12B6">
      <w:pPr>
        <w:pStyle w:val="BodyText"/>
      </w:pPr>
    </w:p>
    <w:p w:rsidR="00000000" w:rsidRPr="007B12B6" w:rsidP="007B12B6">
      <w:pPr>
        <w:pStyle w:val="Heading1"/>
      </w:pPr>
      <w:bookmarkStart w:id="11" w:name="O_137101"/>
      <w:bookmarkEnd w:id="11"/>
      <w:r w:rsidRPr="007B12B6">
        <w:t>Range Statement</w:t>
      </w:r>
    </w:p>
    <w:tbl>
      <w:tblPr>
        <w:tblW w:w="0" w:type="auto"/>
        <w:tblLayout w:type="fixed"/>
        <w:tblCellMar>
          <w:left w:w="62" w:type="dxa"/>
          <w:right w:w="62" w:type="dxa"/>
        </w:tblCellMar>
        <w:tblLook w:val="0000"/>
      </w:tblPr>
      <w:tblGrid>
        <w:gridCol w:w="3345"/>
        <w:gridCol w:w="5835"/>
      </w:tblGrid>
      <w:tr w:rsidTr="00D6082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RANGE STATEMENT</w:t>
            </w:r>
          </w:p>
        </w:tc>
      </w:tr>
      <w:tr w:rsidTr="00D608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t>The range statement relates to the unit of competency as a whole. It allows for different work environments and situations that may affect performance. Bold italicised wording, if used in the performance criteria, is detai</w:t>
            </w:r>
            <w:r w:rsidRPr="007B12B6">
              <w:t>led below. Essential operating conditions that may be present with training and assessment (depending on the work situation, needs of the candidate, accessibility of the item, and local industry and regional contexts) may also be included.</w:t>
            </w:r>
          </w:p>
        </w:tc>
      </w:tr>
      <w:tr w:rsidTr="00D6082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Mortuary instruments and equipment</w:t>
            </w:r>
            <w:r w:rsidRPr="007B12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personal protective equipment</w:t>
            </w:r>
          </w:p>
          <w:p w:rsidR="00000000" w:rsidRPr="007B12B6" w:rsidP="007B12B6">
            <w:pPr>
              <w:pStyle w:val="ListBullet"/>
            </w:pPr>
            <w:r w:rsidRPr="007B12B6">
              <w:t>positioning devices</w:t>
            </w:r>
          </w:p>
          <w:p w:rsidR="00000000" w:rsidRPr="007B12B6" w:rsidP="007B12B6">
            <w:pPr>
              <w:pStyle w:val="ListBullet"/>
            </w:pPr>
            <w:r w:rsidRPr="007B12B6">
              <w:t>sterilisation equipment</w:t>
            </w:r>
          </w:p>
          <w:p w:rsidR="00000000" w:rsidRPr="007B12B6" w:rsidP="007B12B6">
            <w:pPr>
              <w:pStyle w:val="ListBullet"/>
            </w:pPr>
            <w:r w:rsidRPr="007B12B6">
              <w:t>sterilisation chemicals and solutions</w:t>
            </w:r>
          </w:p>
          <w:p w:rsidR="00000000" w:rsidRPr="007B12B6" w:rsidP="007B12B6">
            <w:pPr>
              <w:pStyle w:val="ListBullet"/>
            </w:pPr>
            <w:r w:rsidRPr="007B12B6">
              <w:t>portiboy</w:t>
            </w:r>
          </w:p>
          <w:p w:rsidR="00000000" w:rsidRPr="007B12B6" w:rsidP="007B12B6">
            <w:pPr>
              <w:pStyle w:val="ListBullet"/>
            </w:pPr>
            <w:r w:rsidRPr="007B12B6">
              <w:t>instruments and instrument tray</w:t>
            </w:r>
          </w:p>
          <w:p w:rsidR="00000000" w:rsidRPr="007B12B6" w:rsidP="007B12B6">
            <w:pPr>
              <w:pStyle w:val="ListBullet"/>
            </w:pPr>
            <w:r w:rsidRPr="007B12B6">
              <w:t>dressing table</w:t>
            </w:r>
          </w:p>
          <w:p w:rsidR="00000000" w:rsidRPr="007B12B6" w:rsidP="007B12B6">
            <w:pPr>
              <w:pStyle w:val="ListBullet"/>
            </w:pPr>
            <w:r w:rsidRPr="007B12B6">
              <w:t>disinfectant hand solution, paper towel</w:t>
            </w:r>
            <w:r w:rsidRPr="007B12B6">
              <w:t>s and soap</w:t>
            </w:r>
          </w:p>
          <w:p w:rsidR="00000000" w:rsidRPr="007B12B6" w:rsidP="007B12B6">
            <w:pPr>
              <w:pStyle w:val="ListBullet"/>
            </w:pPr>
            <w:r w:rsidRPr="007B12B6">
              <w:t>pedestal lamps</w:t>
            </w:r>
          </w:p>
          <w:p w:rsidR="00000000" w:rsidRPr="007B12B6" w:rsidP="007B12B6">
            <w:pPr>
              <w:pStyle w:val="ListBullet"/>
            </w:pPr>
            <w:r w:rsidRPr="007B12B6">
              <w:t>first aid kit</w:t>
            </w:r>
          </w:p>
          <w:p w:rsidR="00000000" w:rsidRPr="007B12B6" w:rsidP="007B12B6">
            <w:pPr>
              <w:pStyle w:val="ListBullet"/>
            </w:pPr>
            <w:r w:rsidRPr="007B12B6">
              <w:t>aneurysm needle</w:t>
            </w:r>
          </w:p>
          <w:p w:rsidR="00000000" w:rsidRPr="007B12B6" w:rsidP="007B12B6">
            <w:pPr>
              <w:pStyle w:val="ListBullet"/>
            </w:pPr>
            <w:r w:rsidRPr="007B12B6">
              <w:t>bistoury knife</w:t>
            </w:r>
          </w:p>
          <w:p w:rsidR="00000000" w:rsidRPr="007B12B6" w:rsidP="007B12B6">
            <w:pPr>
              <w:pStyle w:val="ListBullet"/>
            </w:pPr>
            <w:r w:rsidRPr="007B12B6">
              <w:t>scalpels</w:t>
            </w:r>
          </w:p>
          <w:p w:rsidR="00000000" w:rsidRPr="007B12B6" w:rsidP="007B12B6">
            <w:pPr>
              <w:pStyle w:val="ListBullet"/>
            </w:pPr>
            <w:r w:rsidRPr="007B12B6">
              <w:t>scissors</w:t>
            </w:r>
          </w:p>
          <w:p w:rsidR="00000000" w:rsidRPr="007B12B6" w:rsidP="007B12B6">
            <w:pPr>
              <w:pStyle w:val="ListBullet"/>
            </w:pPr>
            <w:r w:rsidRPr="007B12B6">
              <w:t>separators</w:t>
            </w:r>
          </w:p>
          <w:p w:rsidR="00000000" w:rsidRPr="007B12B6" w:rsidP="007B12B6">
            <w:pPr>
              <w:pStyle w:val="ListBullet"/>
            </w:pPr>
            <w:r w:rsidRPr="007B12B6">
              <w:t>suture needles</w:t>
            </w:r>
          </w:p>
          <w:p w:rsidR="00000000" w:rsidRPr="007B12B6" w:rsidP="007B12B6">
            <w:pPr>
              <w:pStyle w:val="ListBullet"/>
            </w:pPr>
            <w:r w:rsidRPr="007B12B6">
              <w:t>needle holder</w:t>
            </w:r>
          </w:p>
          <w:p w:rsidR="00000000" w:rsidRPr="007B12B6" w:rsidP="007B12B6">
            <w:pPr>
              <w:pStyle w:val="ListBullet"/>
            </w:pPr>
            <w:r w:rsidRPr="007B12B6">
              <w:t>forceps</w:t>
            </w:r>
          </w:p>
          <w:p w:rsidR="00000000" w:rsidRPr="007B12B6" w:rsidP="007B12B6">
            <w:pPr>
              <w:pStyle w:val="ListBullet"/>
            </w:pPr>
            <w:r w:rsidRPr="007B12B6">
              <w:t>injection instruments, including:</w:t>
            </w:r>
          </w:p>
          <w:p w:rsidR="00000000" w:rsidRPr="007B12B6" w:rsidP="007B12B6">
            <w:pPr>
              <w:pStyle w:val="ListBullet2"/>
            </w:pPr>
            <w:r w:rsidRPr="007B12B6">
              <w:t>gravity and bulb syringe</w:t>
            </w:r>
          </w:p>
          <w:p w:rsidR="00000000" w:rsidRPr="007B12B6" w:rsidP="007B12B6">
            <w:pPr>
              <w:pStyle w:val="ListBullet2"/>
            </w:pPr>
            <w:r w:rsidRPr="007B12B6">
              <w:t>arterial tube</w:t>
            </w:r>
          </w:p>
          <w:p w:rsidR="00000000" w:rsidRPr="007B12B6" w:rsidP="007B12B6">
            <w:pPr>
              <w:pStyle w:val="ListBullet2"/>
            </w:pPr>
            <w:r w:rsidRPr="007B12B6">
              <w:t>parietal needle</w:t>
            </w:r>
          </w:p>
          <w:p w:rsidR="00000000" w:rsidRPr="007B12B6" w:rsidP="007B12B6">
            <w:pPr>
              <w:pStyle w:val="ListBullet2"/>
            </w:pPr>
            <w:r w:rsidRPr="007B12B6">
              <w:t>hand pump</w:t>
            </w:r>
          </w:p>
          <w:p w:rsidR="00000000" w:rsidRPr="007B12B6" w:rsidP="007B12B6">
            <w:pPr>
              <w:pStyle w:val="ListBullet2"/>
            </w:pPr>
            <w:r w:rsidRPr="007B12B6">
              <w:t>centrifugal pump</w:t>
            </w:r>
          </w:p>
          <w:p w:rsidR="00000000" w:rsidRPr="007B12B6" w:rsidP="007B12B6">
            <w:pPr>
              <w:pStyle w:val="ListBullet2"/>
            </w:pPr>
            <w:r w:rsidRPr="007B12B6">
              <w:t>stopcock</w:t>
            </w:r>
          </w:p>
          <w:p w:rsidR="00000000" w:rsidRPr="007B12B6" w:rsidP="007B12B6">
            <w:pPr>
              <w:pStyle w:val="ListBullet2"/>
            </w:pPr>
            <w:r w:rsidRPr="007B12B6">
              <w:t>Y tube</w:t>
            </w:r>
          </w:p>
          <w:p w:rsidR="00000000" w:rsidRPr="007B12B6" w:rsidP="007B12B6">
            <w:pPr>
              <w:pStyle w:val="ListBullet2"/>
            </w:pPr>
            <w:r w:rsidRPr="007B12B6">
              <w:t>embalming machine</w:t>
            </w:r>
          </w:p>
          <w:p w:rsidR="00000000" w:rsidRPr="007B12B6" w:rsidP="007B12B6">
            <w:pPr>
              <w:pStyle w:val="ListBullet"/>
            </w:pPr>
            <w:r w:rsidRPr="007B12B6">
              <w:t>drainage instruments, including:</w:t>
            </w:r>
          </w:p>
          <w:p w:rsidR="00000000" w:rsidRPr="007B12B6" w:rsidP="007B12B6">
            <w:pPr>
              <w:pStyle w:val="ListBullet2"/>
            </w:pPr>
            <w:r w:rsidRPr="007B12B6">
              <w:t>drain tube</w:t>
            </w:r>
          </w:p>
          <w:p w:rsidR="00000000" w:rsidRPr="007B12B6" w:rsidP="007B12B6">
            <w:pPr>
              <w:pStyle w:val="ListBullet2"/>
            </w:pPr>
            <w:r w:rsidRPr="007B12B6">
              <w:t>iliac drain tube</w:t>
            </w:r>
          </w:p>
          <w:p w:rsidR="00000000" w:rsidRPr="007B12B6" w:rsidP="007B12B6">
            <w:pPr>
              <w:pStyle w:val="ListBullet2"/>
            </w:pPr>
            <w:r w:rsidRPr="007B12B6">
              <w:t>grooved director</w:t>
            </w:r>
          </w:p>
          <w:p w:rsidR="00000000" w:rsidRPr="007B12B6" w:rsidP="007B12B6">
            <w:pPr>
              <w:pStyle w:val="ListBullet2"/>
            </w:pPr>
            <w:r w:rsidRPr="007B12B6">
              <w:t>angular spring forceps</w:t>
            </w:r>
          </w:p>
          <w:p w:rsidR="00000000" w:rsidRPr="007B12B6" w:rsidP="007B12B6">
            <w:pPr>
              <w:pStyle w:val="ListBullet"/>
            </w:pPr>
            <w:r w:rsidRPr="007B12B6">
              <w:t>electric or motorised aspirating instruments, including:</w:t>
            </w:r>
          </w:p>
          <w:p w:rsidR="00000000" w:rsidRPr="007B12B6" w:rsidP="007B12B6">
            <w:pPr>
              <w:pStyle w:val="ListBullet2"/>
            </w:pPr>
            <w:r w:rsidRPr="007B12B6">
              <w:t>autopsy aspirator</w:t>
            </w:r>
          </w:p>
          <w:p w:rsidR="00000000" w:rsidRPr="007B12B6" w:rsidP="007B12B6">
            <w:pPr>
              <w:pStyle w:val="ListBullet2"/>
            </w:pPr>
            <w:r w:rsidRPr="007B12B6">
              <w:t>hydroaspirator</w:t>
            </w:r>
          </w:p>
          <w:p w:rsidR="00000000" w:rsidRPr="007B12B6" w:rsidP="007B12B6">
            <w:pPr>
              <w:pStyle w:val="ListBullet2"/>
            </w:pPr>
            <w:r w:rsidRPr="007B12B6">
              <w:t>nasal tube aspirator</w:t>
            </w:r>
          </w:p>
          <w:p w:rsidR="00000000" w:rsidRPr="007B12B6" w:rsidP="007B12B6">
            <w:pPr>
              <w:pStyle w:val="ListBullet2"/>
            </w:pPr>
            <w:r w:rsidRPr="007B12B6">
              <w:t>trocar</w:t>
            </w:r>
          </w:p>
          <w:p w:rsidR="00000000" w:rsidRPr="007B12B6" w:rsidP="007B12B6">
            <w:pPr>
              <w:pStyle w:val="ListBullet2"/>
            </w:pPr>
            <w:r w:rsidRPr="007B12B6">
              <w:t>hydrovalve trocar</w:t>
            </w:r>
          </w:p>
          <w:p w:rsidR="00000000" w:rsidRPr="007B12B6" w:rsidP="007B12B6">
            <w:pPr>
              <w:pStyle w:val="ListBullet"/>
            </w:pPr>
            <w:r w:rsidRPr="007B12B6">
              <w:t>cavity fluid injectors</w:t>
            </w:r>
          </w:p>
          <w:p w:rsidR="00000000" w:rsidP="007B12B6">
            <w:pPr>
              <w:pStyle w:val="ListBullet"/>
              <w:rPr>
                <w:lang w:val="en-NZ"/>
              </w:rPr>
            </w:pPr>
            <w:r w:rsidRPr="007B12B6">
              <w:t>trocar buttons and applicator.</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Workplace policies and procedures</w:t>
            </w:r>
            <w:r w:rsidRPr="007B12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standard operating policies and procedures</w:t>
            </w:r>
          </w:p>
          <w:p w:rsidR="00000000" w:rsidRPr="007B12B6" w:rsidP="007B12B6">
            <w:pPr>
              <w:pStyle w:val="ListBullet"/>
            </w:pPr>
            <w:r w:rsidRPr="007B12B6">
              <w:t>standards and certification requirements</w:t>
            </w:r>
          </w:p>
          <w:p w:rsidR="00000000" w:rsidRPr="007B12B6" w:rsidP="007B12B6">
            <w:pPr>
              <w:pStyle w:val="ListBullet"/>
            </w:pPr>
            <w:r w:rsidRPr="007B12B6">
              <w:t>communication protocols</w:t>
            </w:r>
          </w:p>
          <w:p w:rsidR="00000000" w:rsidRPr="007B12B6" w:rsidP="007B12B6">
            <w:pPr>
              <w:pStyle w:val="ListBullet"/>
            </w:pPr>
            <w:r w:rsidRPr="007B12B6">
              <w:t>quality assurance procedures</w:t>
            </w:r>
          </w:p>
          <w:p w:rsidR="00000000" w:rsidRPr="007B12B6" w:rsidP="007B12B6">
            <w:pPr>
              <w:pStyle w:val="ListBullet"/>
            </w:pPr>
            <w:r w:rsidRPr="007B12B6">
              <w:t>OHS procedures, such as:</w:t>
            </w:r>
          </w:p>
          <w:p w:rsidR="00000000" w:rsidRPr="007B12B6" w:rsidP="007B12B6">
            <w:pPr>
              <w:pStyle w:val="ListBullet2"/>
            </w:pPr>
            <w:r w:rsidRPr="007B12B6">
              <w:t>infection control procedures</w:t>
            </w:r>
          </w:p>
          <w:p w:rsidR="00000000" w:rsidRPr="007B12B6" w:rsidP="007B12B6">
            <w:pPr>
              <w:pStyle w:val="ListBullet2"/>
            </w:pPr>
            <w:r w:rsidRPr="007B12B6">
              <w:t>manual handling procedures</w:t>
            </w:r>
          </w:p>
          <w:p w:rsidR="00000000" w:rsidRPr="007B12B6" w:rsidP="007B12B6">
            <w:pPr>
              <w:pStyle w:val="ListBullet2"/>
            </w:pPr>
            <w:r w:rsidRPr="007B12B6">
              <w:t>material handling procedures, including hazardous or infectious materials</w:t>
            </w:r>
          </w:p>
          <w:p w:rsidR="00000000" w:rsidRPr="007B12B6" w:rsidP="007B12B6">
            <w:pPr>
              <w:pStyle w:val="ListBullet"/>
            </w:pPr>
            <w:r w:rsidRPr="007B12B6">
              <w:t>emergency procedures, including fire and accident procedures</w:t>
            </w:r>
          </w:p>
          <w:p w:rsidR="00000000" w:rsidP="007B12B6">
            <w:pPr>
              <w:pStyle w:val="ListBullet"/>
              <w:rPr>
                <w:lang w:val="en-NZ"/>
              </w:rPr>
            </w:pPr>
            <w:r w:rsidRPr="007B12B6">
              <w:t>security procedures.</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Relevant legislation</w:t>
            </w:r>
            <w:r w:rsidRPr="007B12B6">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 xml:space="preserve">OHS </w:t>
            </w:r>
          </w:p>
          <w:p w:rsidR="00000000" w:rsidRPr="007B12B6" w:rsidP="007B12B6">
            <w:pPr>
              <w:pStyle w:val="ListBullet"/>
            </w:pPr>
            <w:r w:rsidRPr="007B12B6">
              <w:t>Anatomy Act</w:t>
            </w:r>
          </w:p>
          <w:p w:rsidR="00000000" w:rsidRPr="007B12B6" w:rsidP="007B12B6">
            <w:pPr>
              <w:pStyle w:val="ListBullet"/>
            </w:pPr>
            <w:r w:rsidRPr="007B12B6">
              <w:t>Human Tissue Act</w:t>
            </w:r>
          </w:p>
          <w:p w:rsidR="00000000" w:rsidRPr="007B12B6" w:rsidP="007B12B6">
            <w:pPr>
              <w:pStyle w:val="ListBullet"/>
            </w:pPr>
            <w:r w:rsidRPr="007B12B6">
              <w:t>Skin Penetration Act</w:t>
            </w:r>
          </w:p>
          <w:p w:rsidR="00000000" w:rsidRPr="007B12B6" w:rsidP="007B12B6">
            <w:pPr>
              <w:pStyle w:val="ListBullet"/>
            </w:pPr>
            <w:r w:rsidRPr="007B12B6">
              <w:t>Coroner's Act</w:t>
            </w:r>
          </w:p>
          <w:p w:rsidR="00000000" w:rsidRPr="007B12B6" w:rsidP="007B12B6">
            <w:pPr>
              <w:pStyle w:val="ListBullet"/>
            </w:pPr>
            <w:r w:rsidRPr="007B12B6">
              <w:t>Public Health Act</w:t>
            </w:r>
          </w:p>
          <w:p w:rsidR="00000000" w:rsidRPr="007B12B6" w:rsidP="007B12B6">
            <w:pPr>
              <w:pStyle w:val="ListBullet"/>
            </w:pPr>
            <w:r w:rsidRPr="007B12B6">
              <w:t>Environment Protection Act</w:t>
            </w:r>
          </w:p>
          <w:p w:rsidR="00000000" w:rsidRPr="007B12B6" w:rsidP="007B12B6">
            <w:pPr>
              <w:pStyle w:val="ListBullet"/>
            </w:pPr>
            <w:r w:rsidRPr="007B12B6">
              <w:t>local government regulations</w:t>
            </w:r>
          </w:p>
          <w:p w:rsidR="00000000" w:rsidRPr="007B12B6" w:rsidP="007B12B6">
            <w:pPr>
              <w:pStyle w:val="ListBullet"/>
            </w:pPr>
            <w:r w:rsidRPr="007B12B6">
              <w:t>funeral services industry code of practice</w:t>
            </w:r>
          </w:p>
          <w:p w:rsidR="00000000" w:rsidP="007B12B6">
            <w:pPr>
              <w:pStyle w:val="ListBullet"/>
              <w:rPr>
                <w:lang w:val="en-NZ"/>
              </w:rPr>
            </w:pPr>
            <w:r w:rsidRPr="007B12B6">
              <w:t>Worksafe Australia certification and standards.</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Infection control practices</w:t>
            </w:r>
            <w:r w:rsidRPr="007B12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universal precautions, including:</w:t>
            </w:r>
          </w:p>
          <w:p w:rsidR="00000000" w:rsidRPr="007B12B6" w:rsidP="007B12B6">
            <w:pPr>
              <w:pStyle w:val="ListBullet2"/>
            </w:pPr>
            <w:r w:rsidRPr="007B12B6">
              <w:t>use of personal protective equipment</w:t>
            </w:r>
          </w:p>
          <w:p w:rsidR="00000000" w:rsidRPr="007B12B6" w:rsidP="007B12B6">
            <w:pPr>
              <w:pStyle w:val="ListBullet2"/>
            </w:pPr>
            <w:r w:rsidRPr="007B12B6">
              <w:t>presumption that all blood and body fluids are infectious</w:t>
            </w:r>
          </w:p>
          <w:p w:rsidR="00000000" w:rsidRPr="007B12B6" w:rsidP="007B12B6">
            <w:pPr>
              <w:pStyle w:val="ListBullet2"/>
            </w:pPr>
            <w:r w:rsidRPr="007B12B6">
              <w:t>covering exposed cuts and abrasions, particularly on workers' hands, with waterproof coverings prior to commencing work</w:t>
            </w:r>
          </w:p>
          <w:p w:rsidR="00000000" w:rsidRPr="007B12B6" w:rsidP="007B12B6">
            <w:pPr>
              <w:pStyle w:val="ListBullet2"/>
            </w:pPr>
            <w:r w:rsidRPr="007B12B6">
              <w:t>immediate treatment of puncture wounds or abrasions</w:t>
            </w:r>
          </w:p>
          <w:p w:rsidR="00000000" w:rsidRPr="007B12B6" w:rsidP="007B12B6">
            <w:pPr>
              <w:pStyle w:val="ListBullet2"/>
            </w:pPr>
            <w:r w:rsidRPr="007B12B6">
              <w:t>us</w:t>
            </w:r>
            <w:r w:rsidRPr="007B12B6">
              <w:t>e of protective clothing when cleaning spillage of body fluids</w:t>
            </w:r>
          </w:p>
          <w:p w:rsidR="00000000" w:rsidRPr="007B12B6" w:rsidP="007B12B6">
            <w:pPr>
              <w:pStyle w:val="ListBullet"/>
            </w:pPr>
            <w:r w:rsidRPr="007B12B6">
              <w:t>checking for infectious and transmittable disease</w:t>
            </w:r>
          </w:p>
          <w:p w:rsidR="00000000" w:rsidRPr="007B12B6" w:rsidP="007B12B6">
            <w:pPr>
              <w:pStyle w:val="ListBullet"/>
            </w:pPr>
            <w:r w:rsidRPr="007B12B6">
              <w:t>sterilising apparatus and instruments</w:t>
            </w:r>
          </w:p>
          <w:p w:rsidR="00000000" w:rsidRPr="007B12B6" w:rsidP="007B12B6">
            <w:pPr>
              <w:pStyle w:val="ListBullet"/>
            </w:pPr>
            <w:r w:rsidRPr="007B12B6">
              <w:t>providing sterile storage areas for instruments</w:t>
            </w:r>
          </w:p>
          <w:p w:rsidR="00000000" w:rsidRPr="007B12B6" w:rsidP="007B12B6">
            <w:pPr>
              <w:pStyle w:val="ListBullet"/>
            </w:pPr>
            <w:r w:rsidRPr="007B12B6">
              <w:t>using disinfectants</w:t>
            </w:r>
          </w:p>
          <w:p w:rsidR="00000000" w:rsidRPr="007B12B6" w:rsidP="007B12B6">
            <w:pPr>
              <w:pStyle w:val="ListBullet"/>
            </w:pPr>
            <w:r w:rsidRPr="007B12B6">
              <w:t xml:space="preserve">safe removal and disposal of soiled </w:t>
            </w:r>
            <w:r w:rsidRPr="007B12B6">
              <w:t>and contaminated garments</w:t>
            </w:r>
          </w:p>
          <w:p w:rsidR="00000000" w:rsidRPr="007B12B6" w:rsidP="007B12B6">
            <w:pPr>
              <w:pStyle w:val="ListBullet"/>
            </w:pPr>
            <w:r w:rsidRPr="007B12B6">
              <w:t>safe ventilation</w:t>
            </w:r>
          </w:p>
          <w:p w:rsidR="00000000" w:rsidRPr="007B12B6" w:rsidP="007B12B6">
            <w:pPr>
              <w:pStyle w:val="ListBullet"/>
            </w:pPr>
            <w:r w:rsidRPr="007B12B6">
              <w:t>avoiding invasive procedures on bodies</w:t>
            </w:r>
          </w:p>
          <w:p w:rsidR="00000000" w:rsidRPr="007B12B6" w:rsidP="007B12B6">
            <w:pPr>
              <w:pStyle w:val="ListBullet"/>
            </w:pPr>
            <w:r w:rsidRPr="007B12B6">
              <w:t>immunisation</w:t>
            </w:r>
          </w:p>
          <w:p w:rsidR="00000000" w:rsidRPr="007B12B6" w:rsidP="007B12B6">
            <w:pPr>
              <w:pStyle w:val="ListBullet"/>
            </w:pPr>
            <w:r w:rsidRPr="007B12B6">
              <w:t>periodic X-rays</w:t>
            </w:r>
          </w:p>
          <w:p w:rsidR="00000000" w:rsidRPr="007B12B6" w:rsidP="007B12B6">
            <w:pPr>
              <w:pStyle w:val="ListBullet"/>
            </w:pPr>
            <w:r w:rsidRPr="007B12B6">
              <w:t>seeking medical advice</w:t>
            </w:r>
          </w:p>
          <w:p w:rsidR="00000000" w:rsidRPr="007B12B6" w:rsidP="007B12B6">
            <w:pPr>
              <w:pStyle w:val="ListBullet"/>
            </w:pPr>
            <w:r w:rsidRPr="007B12B6">
              <w:t>recording injury and incidence</w:t>
            </w:r>
          </w:p>
          <w:p w:rsidR="00000000" w:rsidRPr="007B12B6" w:rsidP="007B12B6">
            <w:pPr>
              <w:pStyle w:val="ListBullet"/>
            </w:pPr>
            <w:r w:rsidRPr="007B12B6">
              <w:t>reporting injury and incidence</w:t>
            </w:r>
          </w:p>
          <w:p w:rsidR="00000000" w:rsidRPr="007B12B6" w:rsidP="007B12B6">
            <w:pPr>
              <w:pStyle w:val="ListBullet"/>
            </w:pPr>
            <w:r w:rsidRPr="007B12B6">
              <w:t>providing first aid kit</w:t>
            </w:r>
          </w:p>
          <w:p w:rsidR="00000000" w:rsidRPr="007B12B6" w:rsidP="007B12B6">
            <w:pPr>
              <w:pStyle w:val="ListBullet"/>
            </w:pPr>
            <w:r w:rsidRPr="007B12B6">
              <w:t>performing first aid as necessary</w:t>
            </w:r>
          </w:p>
          <w:p w:rsidR="00000000" w:rsidP="007B12B6">
            <w:pPr>
              <w:pStyle w:val="ListBullet"/>
              <w:rPr>
                <w:lang w:val="en-NZ"/>
              </w:rPr>
            </w:pPr>
            <w:r w:rsidRPr="007B12B6">
              <w:t>labelling clothing.</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Personal protective equipment</w:t>
            </w:r>
            <w:r w:rsidRPr="007B12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disposable gloves</w:t>
            </w:r>
          </w:p>
          <w:p w:rsidR="00000000" w:rsidRPr="007B12B6" w:rsidP="007B12B6">
            <w:pPr>
              <w:pStyle w:val="ListBullet"/>
            </w:pPr>
            <w:r w:rsidRPr="007B12B6">
              <w:t>heavy duty gloves</w:t>
            </w:r>
          </w:p>
          <w:p w:rsidR="00000000" w:rsidRPr="007B12B6" w:rsidP="007B12B6">
            <w:pPr>
              <w:pStyle w:val="ListBullet"/>
            </w:pPr>
            <w:r w:rsidRPr="007B12B6">
              <w:t>barrier gown or suit</w:t>
            </w:r>
          </w:p>
          <w:p w:rsidR="00000000" w:rsidRPr="007B12B6" w:rsidP="007B12B6">
            <w:pPr>
              <w:pStyle w:val="ListBullet"/>
            </w:pPr>
            <w:r w:rsidRPr="007B12B6">
              <w:t>waterproof overshoes</w:t>
            </w:r>
          </w:p>
          <w:p w:rsidR="00000000" w:rsidRPr="007B12B6" w:rsidP="007B12B6">
            <w:pPr>
              <w:pStyle w:val="ListBullet"/>
            </w:pPr>
            <w:r w:rsidRPr="007B12B6">
              <w:t>waterproof aprons</w:t>
            </w:r>
          </w:p>
          <w:p w:rsidR="00000000" w:rsidRPr="007B12B6" w:rsidP="007B12B6">
            <w:pPr>
              <w:pStyle w:val="ListBullet"/>
            </w:pPr>
            <w:r w:rsidRPr="007B12B6">
              <w:t xml:space="preserve">splash proof masks </w:t>
            </w:r>
          </w:p>
          <w:p w:rsidR="00000000" w:rsidRPr="007B12B6" w:rsidP="007B12B6">
            <w:pPr>
              <w:pStyle w:val="ListBullet"/>
            </w:pPr>
            <w:r w:rsidRPr="007B12B6">
              <w:t>eye goggles</w:t>
            </w:r>
          </w:p>
          <w:p w:rsidR="00000000" w:rsidRPr="007B12B6" w:rsidP="007B12B6">
            <w:pPr>
              <w:pStyle w:val="ListBullet"/>
            </w:pPr>
            <w:r w:rsidRPr="007B12B6">
              <w:t>face visor</w:t>
            </w:r>
          </w:p>
          <w:p w:rsidR="00000000" w:rsidRPr="007B12B6" w:rsidP="007B12B6">
            <w:pPr>
              <w:pStyle w:val="ListBullet"/>
            </w:pPr>
            <w:r w:rsidRPr="007B12B6">
              <w:t>hair cover</w:t>
            </w:r>
          </w:p>
          <w:p w:rsidR="00000000" w:rsidRPr="007B12B6" w:rsidP="007B12B6">
            <w:pPr>
              <w:pStyle w:val="ListBullet"/>
            </w:pPr>
            <w:r w:rsidRPr="007B12B6">
              <w:t>filtered air supply:</w:t>
            </w:r>
          </w:p>
          <w:p w:rsidR="00000000" w:rsidRPr="007B12B6" w:rsidP="007B12B6">
            <w:pPr>
              <w:pStyle w:val="ListBullet2"/>
            </w:pPr>
            <w:r w:rsidRPr="007B12B6">
              <w:t>negative air pressure</w:t>
            </w:r>
          </w:p>
          <w:p w:rsidR="00000000" w:rsidP="007B12B6">
            <w:pPr>
              <w:pStyle w:val="ListBullet2"/>
              <w:rPr>
                <w:lang w:val="en-NZ"/>
              </w:rPr>
            </w:pPr>
            <w:r w:rsidRPr="007B12B6">
              <w:t>powered positive air supply.</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Type of autopsy</w:t>
            </w:r>
            <w:r w:rsidRPr="007B12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medical</w:t>
            </w:r>
          </w:p>
          <w:p w:rsidR="00000000" w:rsidRPr="007B12B6" w:rsidP="007B12B6">
            <w:pPr>
              <w:pStyle w:val="ListBullet"/>
            </w:pPr>
            <w:r w:rsidRPr="007B12B6">
              <w:t>hospital</w:t>
            </w:r>
          </w:p>
          <w:p w:rsidR="00000000" w:rsidP="007B12B6">
            <w:pPr>
              <w:pStyle w:val="ListBullet"/>
              <w:rPr>
                <w:lang w:val="en-NZ"/>
              </w:rPr>
            </w:pPr>
            <w:r w:rsidRPr="007B12B6">
              <w:t>coroner or medical examiner.</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Embalming implications</w:t>
            </w:r>
            <w:r w:rsidRPr="007B12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order for preparation</w:t>
            </w:r>
          </w:p>
          <w:p w:rsidR="00000000" w:rsidRPr="007B12B6" w:rsidP="007B12B6">
            <w:pPr>
              <w:pStyle w:val="ListBullet"/>
            </w:pPr>
            <w:r w:rsidRPr="007B12B6">
              <w:t>fluid strength</w:t>
            </w:r>
          </w:p>
          <w:p w:rsidR="00000000" w:rsidRPr="007B12B6" w:rsidP="007B12B6">
            <w:pPr>
              <w:pStyle w:val="ListBullet"/>
            </w:pPr>
            <w:r w:rsidRPr="007B12B6">
              <w:t>use of dyes</w:t>
            </w:r>
          </w:p>
          <w:p w:rsidR="00000000" w:rsidRPr="007B12B6" w:rsidP="007B12B6">
            <w:pPr>
              <w:pStyle w:val="ListBullet"/>
            </w:pPr>
            <w:r w:rsidRPr="007B12B6">
              <w:t>pressure and rates of flow</w:t>
            </w:r>
          </w:p>
          <w:p w:rsidR="00000000" w:rsidRPr="007B12B6" w:rsidP="007B12B6">
            <w:pPr>
              <w:pStyle w:val="ListBullet"/>
            </w:pPr>
            <w:r w:rsidRPr="007B12B6">
              <w:t>drainage</w:t>
            </w:r>
          </w:p>
          <w:p w:rsidR="00000000" w:rsidRPr="007B12B6" w:rsidP="007B12B6">
            <w:pPr>
              <w:pStyle w:val="ListBullet"/>
            </w:pPr>
            <w:r w:rsidRPr="007B12B6">
              <w:t>techniques for dealing with:</w:t>
            </w:r>
          </w:p>
          <w:p w:rsidR="00000000" w:rsidRPr="007B12B6" w:rsidP="007B12B6">
            <w:pPr>
              <w:pStyle w:val="ListBullet2"/>
            </w:pPr>
            <w:r w:rsidRPr="007B12B6">
              <w:t>cranial autopsies</w:t>
            </w:r>
          </w:p>
          <w:p w:rsidR="00000000" w:rsidRPr="007B12B6" w:rsidP="007B12B6">
            <w:pPr>
              <w:pStyle w:val="ListBullet2"/>
            </w:pPr>
            <w:r w:rsidRPr="007B12B6">
              <w:t>thoracic autopsies</w:t>
            </w:r>
          </w:p>
          <w:p w:rsidR="00000000" w:rsidRPr="007B12B6" w:rsidP="007B12B6">
            <w:pPr>
              <w:pStyle w:val="ListBullet2"/>
            </w:pPr>
            <w:r w:rsidRPr="007B12B6">
              <w:t>infant or child autopsies</w:t>
            </w:r>
          </w:p>
          <w:p w:rsidR="00000000" w:rsidRPr="007B12B6" w:rsidP="007B12B6">
            <w:pPr>
              <w:pStyle w:val="ListBullet2"/>
            </w:pPr>
            <w:r w:rsidRPr="007B12B6">
              <w:t>abdominal autopsies</w:t>
            </w:r>
          </w:p>
          <w:p w:rsidR="00000000" w:rsidRPr="007B12B6" w:rsidP="007B12B6">
            <w:pPr>
              <w:pStyle w:val="ListBullet"/>
            </w:pPr>
            <w:r w:rsidRPr="007B12B6">
              <w:t>preparation of autopsied bodies</w:t>
            </w:r>
          </w:p>
          <w:p w:rsidR="00000000" w:rsidRPr="007B12B6" w:rsidP="007B12B6">
            <w:pPr>
              <w:pStyle w:val="ListBullet"/>
            </w:pPr>
            <w:r w:rsidRPr="007B12B6">
              <w:t>supplemental hypodermic injections</w:t>
            </w:r>
          </w:p>
          <w:p w:rsidR="00000000" w:rsidRPr="007B12B6" w:rsidP="007B12B6">
            <w:pPr>
              <w:pStyle w:val="ListBullet"/>
            </w:pPr>
            <w:r w:rsidRPr="007B12B6">
              <w:t>treatment of viscera</w:t>
            </w:r>
          </w:p>
          <w:p w:rsidR="00000000" w:rsidRPr="007B12B6" w:rsidP="007B12B6">
            <w:pPr>
              <w:pStyle w:val="ListBullet"/>
            </w:pPr>
            <w:r w:rsidRPr="007B12B6">
              <w:t>closure of cavities</w:t>
            </w:r>
          </w:p>
          <w:p w:rsidR="00000000" w:rsidRPr="007B12B6" w:rsidP="007B12B6">
            <w:pPr>
              <w:pStyle w:val="ListBullet"/>
            </w:pPr>
            <w:r w:rsidRPr="007B12B6">
              <w:t>protocol for restorative treatmen</w:t>
            </w:r>
            <w:r w:rsidRPr="007B12B6">
              <w:t>ts on autopsied bodies</w:t>
            </w:r>
          </w:p>
          <w:p w:rsidR="00000000" w:rsidP="007B12B6">
            <w:pPr>
              <w:pStyle w:val="ListBullet"/>
              <w:rPr>
                <w:lang w:val="en-NZ"/>
              </w:rPr>
            </w:pPr>
            <w:r w:rsidRPr="007B12B6">
              <w:t>familiarisation with 'Y' autopsy incision.</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Invasive and non</w:t>
            </w:r>
            <w:r w:rsidRPr="007B12B6">
              <w:t>-</w:t>
            </w:r>
            <w:r w:rsidRPr="007B12B6">
              <w:rPr>
                <w:rStyle w:val="BoldandItalics"/>
              </w:rPr>
              <w:t>invasive medical paraphernalia</w:t>
            </w:r>
            <w:r w:rsidRPr="007B12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pacemakers</w:t>
            </w:r>
          </w:p>
          <w:p w:rsidR="00000000" w:rsidRPr="007B12B6" w:rsidP="007B12B6">
            <w:pPr>
              <w:pStyle w:val="ListBullet"/>
            </w:pPr>
            <w:r w:rsidRPr="007B12B6">
              <w:t>electronic, nuclear and radioactive devices</w:t>
            </w:r>
          </w:p>
          <w:p w:rsidR="00000000" w:rsidRPr="007B12B6" w:rsidP="007B12B6">
            <w:pPr>
              <w:pStyle w:val="ListBullet"/>
            </w:pPr>
            <w:r w:rsidRPr="007B12B6">
              <w:t>colostomy closures</w:t>
            </w:r>
          </w:p>
          <w:p w:rsidR="00000000" w:rsidP="007B12B6">
            <w:pPr>
              <w:pStyle w:val="ListBullet"/>
              <w:rPr>
                <w:lang w:val="en-NZ"/>
              </w:rPr>
            </w:pPr>
            <w:r w:rsidRPr="007B12B6">
              <w:t>surgical drains.</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Treatments for areas not reached by arterial fluid</w:t>
            </w:r>
            <w:r w:rsidRPr="007B12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hypodermic injection</w:t>
            </w:r>
          </w:p>
          <w:p w:rsidR="00000000" w:rsidRPr="007B12B6" w:rsidP="007B12B6">
            <w:pPr>
              <w:pStyle w:val="ListBullet"/>
            </w:pPr>
            <w:r w:rsidRPr="007B12B6">
              <w:t>internal packs</w:t>
            </w:r>
          </w:p>
          <w:p w:rsidR="00000000" w:rsidRPr="007B12B6" w:rsidP="007B12B6">
            <w:pPr>
              <w:pStyle w:val="ListBullet"/>
            </w:pPr>
            <w:r w:rsidRPr="007B12B6">
              <w:t>preservative gels</w:t>
            </w:r>
          </w:p>
          <w:p w:rsidR="00000000" w:rsidP="007B12B6">
            <w:pPr>
              <w:pStyle w:val="ListBullet"/>
              <w:rPr>
                <w:lang w:val="en-NZ"/>
              </w:rPr>
            </w:pPr>
            <w:r w:rsidRPr="007B12B6">
              <w:t>external gels.</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Appropriate suturing techniques</w:t>
            </w:r>
            <w:r w:rsidRPr="007B12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individual</w:t>
            </w:r>
          </w:p>
          <w:p w:rsidR="00000000" w:rsidRPr="007B12B6" w:rsidP="007B12B6">
            <w:pPr>
              <w:pStyle w:val="ListBullet"/>
            </w:pPr>
            <w:r w:rsidRPr="007B12B6">
              <w:t>baseball stitch</w:t>
            </w:r>
          </w:p>
          <w:p w:rsidR="00000000" w:rsidRPr="007B12B6" w:rsidP="007B12B6">
            <w:pPr>
              <w:pStyle w:val="ListBullet"/>
            </w:pPr>
            <w:r w:rsidRPr="007B12B6">
              <w:t>single intradermal</w:t>
            </w:r>
          </w:p>
          <w:p w:rsidR="00000000" w:rsidRPr="007B12B6" w:rsidP="007B12B6">
            <w:pPr>
              <w:pStyle w:val="ListBullet"/>
            </w:pPr>
            <w:r w:rsidRPr="007B12B6">
              <w:t>double intradermal</w:t>
            </w:r>
          </w:p>
          <w:p w:rsidR="00000000" w:rsidRPr="007B12B6" w:rsidP="007B12B6">
            <w:pPr>
              <w:pStyle w:val="ListBullet"/>
            </w:pPr>
            <w:r w:rsidRPr="007B12B6">
              <w:t>inversion</w:t>
            </w:r>
          </w:p>
          <w:p w:rsidR="00000000" w:rsidRPr="007B12B6" w:rsidP="007B12B6">
            <w:pPr>
              <w:pStyle w:val="ListBullet"/>
            </w:pPr>
            <w:r w:rsidRPr="007B12B6">
              <w:t>interlocking</w:t>
            </w:r>
          </w:p>
          <w:p w:rsidR="00000000" w:rsidRPr="007B12B6" w:rsidP="007B12B6">
            <w:pPr>
              <w:pStyle w:val="ListBullet"/>
            </w:pPr>
            <w:r w:rsidRPr="007B12B6">
              <w:t>continuous</w:t>
            </w:r>
          </w:p>
          <w:p w:rsidR="00000000" w:rsidRPr="007B12B6" w:rsidP="007B12B6">
            <w:pPr>
              <w:pStyle w:val="ListBullet"/>
            </w:pPr>
            <w:r w:rsidRPr="007B12B6">
              <w:t>'N'</w:t>
            </w:r>
          </w:p>
          <w:p w:rsidR="00000000" w:rsidP="007B12B6">
            <w:pPr>
              <w:pStyle w:val="ListBullet"/>
              <w:rPr>
                <w:lang w:val="en-NZ"/>
              </w:rPr>
            </w:pPr>
            <w:r w:rsidRPr="007B12B6">
              <w:t>purse string.</w:t>
            </w: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p>
        </w:tc>
      </w:tr>
      <w:tr w:rsidTr="00D6082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BoldandItalics"/>
              </w:rPr>
              <w:t>Case analysis report</w:t>
            </w:r>
            <w:r w:rsidRPr="007B12B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B12B6" w:rsidP="007B12B6">
            <w:pPr>
              <w:pStyle w:val="ListBullet"/>
            </w:pPr>
            <w:r w:rsidRPr="007B12B6">
              <w:t>problems and complications</w:t>
            </w:r>
          </w:p>
          <w:p w:rsidR="00000000" w:rsidRPr="007B12B6" w:rsidP="007B12B6">
            <w:pPr>
              <w:pStyle w:val="ListBullet"/>
            </w:pPr>
            <w:r w:rsidRPr="007B12B6">
              <w:t>corrective action taken.</w:t>
            </w:r>
          </w:p>
        </w:tc>
      </w:tr>
    </w:tbl>
    <w:p w:rsidR="00D6082F" w:rsidP="007B12B6">
      <w:pPr>
        <w:pStyle w:val="BodyText"/>
      </w:pPr>
    </w:p>
    <w:p w:rsidR="00D6082F" w:rsidP="007B12B6">
      <w:pPr>
        <w:pStyle w:val="BodyText"/>
      </w:pPr>
    </w:p>
    <w:p w:rsidR="00000000" w:rsidRPr="007B12B6" w:rsidP="007B12B6">
      <w:pPr>
        <w:pStyle w:val="Heading1"/>
      </w:pPr>
      <w:bookmarkStart w:id="12" w:name="O_137102"/>
      <w:bookmarkEnd w:id="12"/>
      <w:r w:rsidRPr="007B12B6">
        <w:t>Unit Sector(s)</w:t>
      </w:r>
    </w:p>
    <w:tbl>
      <w:tblPr>
        <w:tblW w:w="0" w:type="auto"/>
        <w:tblLayout w:type="fixed"/>
        <w:tblCellMar>
          <w:left w:w="62" w:type="dxa"/>
          <w:right w:w="62" w:type="dxa"/>
        </w:tblCellMar>
        <w:tblLook w:val="0000"/>
      </w:tblPr>
      <w:tblGrid>
        <w:gridCol w:w="2836"/>
        <w:gridCol w:w="6344"/>
      </w:tblGrid>
      <w:tr w:rsidTr="00D608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B12B6" w:rsidP="007B12B6">
            <w:pPr>
              <w:pStyle w:val="BodyText"/>
            </w:pPr>
            <w:r w:rsidRPr="007B12B6">
              <w:t>Funeral Services</w:t>
            </w:r>
          </w:p>
        </w:tc>
      </w:tr>
    </w:tbl>
    <w:p w:rsidR="00000000" w:rsidRPr="007B12B6" w:rsidP="007B12B6">
      <w:pPr>
        <w:pStyle w:val="BodyText"/>
      </w:pPr>
    </w:p>
    <w:p w:rsidR="00000000" w:rsidRPr="007B12B6" w:rsidP="007B12B6">
      <w:pPr>
        <w:pStyle w:val="AllowPageBreak"/>
      </w:pPr>
    </w:p>
    <w:p w:rsidR="00000000" w:rsidRPr="007B12B6" w:rsidP="007B12B6">
      <w:pPr>
        <w:pStyle w:val="Heading1"/>
      </w:pPr>
      <w:bookmarkStart w:id="13" w:name="O_162508"/>
      <w:bookmarkEnd w:id="13"/>
      <w:r w:rsidRPr="007B12B6">
        <w:t>Competency field</w:t>
      </w:r>
    </w:p>
    <w:tbl>
      <w:tblPr>
        <w:tblW w:w="0" w:type="auto"/>
        <w:tblLayout w:type="fixed"/>
        <w:tblCellMar>
          <w:left w:w="62" w:type="dxa"/>
          <w:right w:w="62" w:type="dxa"/>
        </w:tblCellMar>
        <w:tblLook w:val="0000"/>
      </w:tblPr>
      <w:tblGrid>
        <w:gridCol w:w="2836"/>
        <w:gridCol w:w="6344"/>
      </w:tblGrid>
      <w:tr w:rsidTr="00D6082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B12B6">
            <w:pPr>
              <w:pStyle w:val="BodyText"/>
              <w:rPr>
                <w:lang w:val="en-NZ"/>
              </w:rPr>
            </w:pPr>
            <w:r w:rsidRPr="007B12B6">
              <w:t>Mortuary Work and Embalming</w:t>
            </w:r>
          </w:p>
        </w:tc>
      </w:tr>
      <w:tr w:rsidTr="00D6082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B12B6" w:rsidP="007B12B6">
            <w:pPr>
              <w:pStyle w:val="BodyText"/>
            </w:pPr>
          </w:p>
        </w:tc>
      </w:tr>
    </w:tbl>
    <w:p w:rsidR="00000000" w:rsidRPr="007B12B6" w:rsidP="007B12B6">
      <w:pPr>
        <w:pStyle w:val="BodyText"/>
      </w:pPr>
    </w:p>
    <w:p w:rsidR="00000000" w:rsidRPr="007B12B6" w:rsidP="007B12B6"/>
    <w:sectPr w:rsidSect="007B12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82F" w:rsidP="00D60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2F" w:rsidP="007B12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6082F" w:rsidP="007B12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6082F" w:rsidP="007B12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82F" w:rsidP="00D608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2F" w:rsidP="007B12B6">
    <w:pPr>
      <w:pStyle w:val="Header"/>
      <w:framePr w:wrap="around"/>
    </w:pPr>
    <w:r>
      <w:fldChar w:fldCharType="begin"/>
    </w:r>
    <w:r>
      <w:instrText xml:space="preserve"> TITLE   \* MERGEFORMAT </w:instrText>
    </w:r>
    <w:r>
      <w:fldChar w:fldCharType="separate"/>
    </w:r>
    <w:r>
      <w:t>SIFMWK014A Treat the arterial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082F" w:rsidP="007B12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EDF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6C9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628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2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2B6"/>
    <w:pPr>
      <w:spacing w:before="360" w:after="60"/>
      <w:outlineLvl w:val="0"/>
    </w:pPr>
    <w:rPr>
      <w:sz w:val="32"/>
    </w:rPr>
  </w:style>
  <w:style w:type="paragraph" w:styleId="Heading2">
    <w:name w:val="heading 2"/>
    <w:basedOn w:val="HeadingBase"/>
    <w:next w:val="BodyText"/>
    <w:link w:val="Heading2Char"/>
    <w:qFormat/>
    <w:rsid w:val="007B12B6"/>
    <w:pPr>
      <w:keepLines/>
      <w:spacing w:before="240" w:after="120"/>
      <w:outlineLvl w:val="1"/>
    </w:pPr>
    <w:rPr>
      <w:sz w:val="28"/>
      <w:szCs w:val="40"/>
    </w:rPr>
  </w:style>
  <w:style w:type="paragraph" w:styleId="Heading3">
    <w:name w:val="heading 3"/>
    <w:basedOn w:val="HeadingBase"/>
    <w:next w:val="BodyText"/>
    <w:link w:val="Heading3Char"/>
    <w:qFormat/>
    <w:rsid w:val="007B12B6"/>
    <w:pPr>
      <w:spacing w:before="180" w:after="120"/>
      <w:outlineLvl w:val="2"/>
    </w:pPr>
    <w:rPr>
      <w:spacing w:val="-10"/>
      <w:kern w:val="32"/>
    </w:rPr>
  </w:style>
  <w:style w:type="paragraph" w:styleId="Heading4">
    <w:name w:val="heading 4"/>
    <w:basedOn w:val="HeadingBase"/>
    <w:next w:val="BodyText"/>
    <w:link w:val="Heading4Char"/>
    <w:qFormat/>
    <w:rsid w:val="007B12B6"/>
    <w:pPr>
      <w:spacing w:before="160" w:after="120"/>
      <w:outlineLvl w:val="3"/>
    </w:pPr>
    <w:rPr>
      <w:sz w:val="22"/>
    </w:rPr>
  </w:style>
  <w:style w:type="paragraph" w:styleId="Heading5">
    <w:name w:val="heading 5"/>
    <w:basedOn w:val="HeadingBase"/>
    <w:next w:val="Normal"/>
    <w:link w:val="Heading5Char"/>
    <w:qFormat/>
    <w:rsid w:val="007B12B6"/>
    <w:pPr>
      <w:spacing w:before="80"/>
      <w:outlineLvl w:val="4"/>
    </w:pPr>
    <w:rPr>
      <w:color w:val="918585"/>
      <w:sz w:val="20"/>
    </w:rPr>
  </w:style>
  <w:style w:type="paragraph" w:styleId="Heading6">
    <w:name w:val="heading 6"/>
    <w:basedOn w:val="HeadingBase"/>
    <w:next w:val="Normal"/>
    <w:link w:val="Heading6Char"/>
    <w:qFormat/>
    <w:rsid w:val="007B12B6"/>
    <w:pPr>
      <w:spacing w:before="60"/>
      <w:outlineLvl w:val="5"/>
    </w:pPr>
    <w:rPr>
      <w:color w:val="918585"/>
      <w:sz w:val="20"/>
    </w:rPr>
  </w:style>
  <w:style w:type="paragraph" w:styleId="Heading7">
    <w:name w:val="heading 7"/>
    <w:basedOn w:val="Normal"/>
    <w:next w:val="Normal"/>
    <w:link w:val="Heading7Char"/>
    <w:qFormat/>
    <w:rsid w:val="007B12B6"/>
    <w:pPr>
      <w:ind w:left="720"/>
      <w:outlineLvl w:val="6"/>
    </w:pPr>
    <w:rPr>
      <w:i/>
    </w:rPr>
  </w:style>
  <w:style w:type="paragraph" w:styleId="Heading8">
    <w:name w:val="heading 8"/>
    <w:basedOn w:val="Normal"/>
    <w:next w:val="Normal"/>
    <w:link w:val="Heading8Char"/>
    <w:qFormat/>
    <w:rsid w:val="007B12B6"/>
    <w:pPr>
      <w:ind w:left="720"/>
      <w:outlineLvl w:val="7"/>
    </w:pPr>
    <w:rPr>
      <w:i/>
    </w:rPr>
  </w:style>
  <w:style w:type="paragraph" w:styleId="Heading9">
    <w:name w:val="heading 9"/>
    <w:basedOn w:val="Normal"/>
    <w:next w:val="Normal"/>
    <w:link w:val="Heading9Char"/>
    <w:qFormat/>
    <w:rsid w:val="007B12B6"/>
    <w:pPr>
      <w:ind w:left="720"/>
      <w:outlineLvl w:val="8"/>
    </w:pPr>
    <w:rPr>
      <w:i/>
    </w:rPr>
  </w:style>
  <w:style w:type="character" w:default="1" w:styleId="DefaultParagraphFont">
    <w:name w:val="Default Paragraph Font"/>
    <w:uiPriority w:val="1"/>
    <w:unhideWhenUsed/>
    <w:rsid w:val="007B12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2B6"/>
  </w:style>
  <w:style w:type="character" w:customStyle="1" w:styleId="Heading1Char">
    <w:name w:val="Heading 1 Char"/>
    <w:basedOn w:val="DefaultParagraphFont"/>
    <w:link w:val="Heading1"/>
    <w:rsid w:val="007B12B6"/>
    <w:rPr>
      <w:rFonts w:ascii="Times New Roman" w:eastAsia="Times New Roman" w:hAnsi="Times New Roman" w:cs="Times New Roman"/>
      <w:b/>
      <w:sz w:val="32"/>
      <w:szCs w:val="20"/>
      <w:lang w:eastAsia="en-US"/>
    </w:rPr>
  </w:style>
  <w:style w:type="paragraph" w:styleId="BodyText">
    <w:name w:val="Body Text"/>
    <w:basedOn w:val="Normal"/>
    <w:link w:val="BodyTextChar"/>
    <w:rsid w:val="007B12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2B6"/>
    <w:rPr>
      <w:rFonts w:ascii="Times New Roman" w:eastAsia="Times New Roman" w:hAnsi="Times New Roman" w:cs="Times New Roman"/>
      <w:sz w:val="24"/>
      <w:lang w:val="en-US" w:eastAsia="en-US"/>
    </w:rPr>
  </w:style>
  <w:style w:type="paragraph" w:styleId="Footer">
    <w:name w:val="footer"/>
    <w:basedOn w:val="Normal"/>
    <w:link w:val="FooterChar"/>
    <w:rsid w:val="007B12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2B6"/>
    <w:rPr>
      <w:rFonts w:ascii="Times New Roman" w:eastAsia="Times New Roman" w:hAnsi="Times New Roman" w:cs="Times New Roman"/>
      <w:sz w:val="16"/>
      <w:lang w:val="en-US" w:eastAsia="en-US"/>
    </w:rPr>
  </w:style>
  <w:style w:type="paragraph" w:styleId="List">
    <w:name w:val="List"/>
    <w:basedOn w:val="BodyText"/>
    <w:next w:val="BodyText"/>
    <w:rsid w:val="007B12B6"/>
    <w:pPr>
      <w:tabs>
        <w:tab w:val="left" w:pos="340"/>
      </w:tabs>
      <w:spacing w:before="60" w:after="60"/>
      <w:ind w:left="340" w:hanging="340"/>
    </w:pPr>
  </w:style>
  <w:style w:type="paragraph" w:styleId="ListBullet">
    <w:name w:val="List Bullet"/>
    <w:basedOn w:val="List"/>
    <w:rsid w:val="007B12B6"/>
    <w:pPr>
      <w:numPr>
        <w:numId w:val="13"/>
      </w:numPr>
      <w:tabs>
        <w:tab w:val="clear" w:pos="340"/>
      </w:tabs>
      <w:spacing w:before="40" w:after="40"/>
    </w:pPr>
  </w:style>
  <w:style w:type="character" w:customStyle="1" w:styleId="SpecialBold">
    <w:name w:val="Special Bold"/>
    <w:basedOn w:val="DefaultParagraphFont"/>
    <w:rsid w:val="007B12B6"/>
    <w:rPr>
      <w:b/>
      <w:spacing w:val="0"/>
    </w:rPr>
  </w:style>
  <w:style w:type="paragraph" w:styleId="ListBullet2">
    <w:name w:val="List Bullet 2"/>
    <w:basedOn w:val="List2"/>
    <w:rsid w:val="007B12B6"/>
    <w:pPr>
      <w:numPr>
        <w:numId w:val="14"/>
      </w:numPr>
      <w:tabs>
        <w:tab w:val="clear" w:pos="680"/>
      </w:tabs>
    </w:pPr>
  </w:style>
  <w:style w:type="paragraph" w:styleId="Header">
    <w:name w:val="header"/>
    <w:basedOn w:val="Normal"/>
    <w:link w:val="HeaderChar"/>
    <w:rsid w:val="007B12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2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12B6"/>
    <w:pPr>
      <w:spacing w:before="240" w:after="120"/>
      <w:outlineLvl w:val="0"/>
    </w:pPr>
    <w:rPr>
      <w:rFonts w:ascii="Times New Roman" w:hAnsi="Times New Roman"/>
      <w:b/>
      <w:sz w:val="28"/>
    </w:rPr>
  </w:style>
  <w:style w:type="paragraph" w:customStyle="1" w:styleId="AllowPageBreak">
    <w:name w:val="AllowPageBreak"/>
    <w:rsid w:val="007B12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12B6"/>
    <w:rPr>
      <w:b/>
      <w:i/>
      <w:u w:val="none"/>
    </w:rPr>
  </w:style>
  <w:style w:type="character" w:customStyle="1" w:styleId="Heading2Char">
    <w:name w:val="Heading 2 Char"/>
    <w:basedOn w:val="DefaultParagraphFont"/>
    <w:link w:val="Heading2"/>
    <w:rsid w:val="007B12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2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2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2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2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2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2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2B6"/>
    <w:rPr>
      <w:rFonts w:ascii="Courier New" w:eastAsia="Times New Roman" w:hAnsi="Courier New" w:cs="Times New Roman"/>
      <w:i/>
      <w:szCs w:val="20"/>
      <w:lang w:val="en-US" w:eastAsia="en-US"/>
    </w:rPr>
  </w:style>
  <w:style w:type="paragraph" w:customStyle="1" w:styleId="HeadingBase">
    <w:name w:val="Heading Base"/>
    <w:rsid w:val="007B12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2B6"/>
    <w:pPr>
      <w:tabs>
        <w:tab w:val="right" w:leader="dot" w:pos="9072"/>
      </w:tabs>
      <w:ind w:left="567"/>
    </w:pPr>
    <w:rPr>
      <w:szCs w:val="22"/>
    </w:rPr>
  </w:style>
  <w:style w:type="paragraph" w:customStyle="1" w:styleId="TOCBase">
    <w:name w:val="TOC Base"/>
    <w:rsid w:val="007B12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2B6"/>
    <w:pPr>
      <w:tabs>
        <w:tab w:val="right" w:leader="dot" w:pos="9072"/>
      </w:tabs>
      <w:spacing w:before="40" w:after="40"/>
      <w:ind w:left="284"/>
    </w:pPr>
    <w:rPr>
      <w:rFonts w:ascii="Times New Roman" w:hAnsi="Times New Roman"/>
    </w:rPr>
  </w:style>
  <w:style w:type="paragraph" w:styleId="TOC1">
    <w:name w:val="toc 1"/>
    <w:basedOn w:val="TOCBase"/>
    <w:next w:val="Normal"/>
    <w:rsid w:val="007B12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2B6"/>
    <w:pPr>
      <w:spacing w:before="5040"/>
      <w:jc w:val="center"/>
    </w:pPr>
    <w:rPr>
      <w:sz w:val="48"/>
      <w:szCs w:val="72"/>
      <w:lang w:val="en-US"/>
    </w:rPr>
  </w:style>
  <w:style w:type="character" w:customStyle="1" w:styleId="TitleChar">
    <w:name w:val="Title Char"/>
    <w:basedOn w:val="DefaultParagraphFont"/>
    <w:link w:val="Title"/>
    <w:rsid w:val="007B12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2B6"/>
    <w:pPr>
      <w:tabs>
        <w:tab w:val="left" w:pos="3600"/>
        <w:tab w:val="left" w:pos="3958"/>
      </w:tabs>
    </w:pPr>
  </w:style>
  <w:style w:type="paragraph" w:customStyle="1" w:styleId="Note">
    <w:name w:val="Note"/>
    <w:basedOn w:val="BodyText"/>
    <w:rsid w:val="007B12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2B6"/>
    <w:pPr>
      <w:framePr w:wrap="auto" w:hAnchor="text" w:y="6049"/>
    </w:pPr>
    <w:rPr>
      <w:color w:val="000000"/>
      <w:sz w:val="40"/>
    </w:rPr>
  </w:style>
  <w:style w:type="paragraph" w:customStyle="1" w:styleId="TOCTitle">
    <w:name w:val="TOCTitle"/>
    <w:basedOn w:val="Heading1"/>
    <w:rsid w:val="007B12B6"/>
    <w:pPr>
      <w:spacing w:after="240"/>
      <w:jc w:val="center"/>
      <w:outlineLvl w:val="9"/>
    </w:pPr>
    <w:rPr>
      <w:caps/>
    </w:rPr>
  </w:style>
  <w:style w:type="paragraph" w:customStyle="1" w:styleId="Version">
    <w:name w:val="Version"/>
    <w:rsid w:val="007B12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2B6"/>
    <w:pPr>
      <w:keepNext w:val="0"/>
      <w:tabs>
        <w:tab w:val="right" w:pos="4176"/>
      </w:tabs>
      <w:ind w:left="198" w:hanging="198"/>
    </w:pPr>
    <w:rPr>
      <w:rFonts w:ascii="Garamond" w:hAnsi="Garamond"/>
    </w:rPr>
  </w:style>
  <w:style w:type="paragraph" w:styleId="IndexHeading">
    <w:name w:val="index heading"/>
    <w:basedOn w:val="Normal"/>
    <w:next w:val="Index1"/>
    <w:semiHidden/>
    <w:rsid w:val="007B12B6"/>
    <w:pPr>
      <w:spacing w:before="120" w:after="120"/>
    </w:pPr>
    <w:rPr>
      <w:rFonts w:ascii="Arial" w:hAnsi="Arial"/>
      <w:b/>
      <w:color w:val="918585"/>
      <w:sz w:val="24"/>
    </w:rPr>
  </w:style>
  <w:style w:type="paragraph" w:customStyle="1" w:styleId="Chapter">
    <w:name w:val="Chapter"/>
    <w:basedOn w:val="Normal"/>
    <w:rsid w:val="007B12B6"/>
    <w:pPr>
      <w:spacing w:before="240"/>
    </w:pPr>
    <w:rPr>
      <w:rFonts w:ascii="Times New Roman" w:hAnsi="Times New Roman"/>
      <w:smallCaps/>
      <w:spacing w:val="80"/>
      <w:sz w:val="28"/>
    </w:rPr>
  </w:style>
  <w:style w:type="paragraph" w:customStyle="1" w:styleId="InChapter">
    <w:name w:val="InChapter"/>
    <w:basedOn w:val="Heading3"/>
    <w:rsid w:val="007B12B6"/>
    <w:pPr>
      <w:spacing w:after="240"/>
      <w:outlineLvl w:val="9"/>
    </w:pPr>
    <w:rPr>
      <w:noProof/>
    </w:rPr>
  </w:style>
  <w:style w:type="paragraph" w:styleId="Index2">
    <w:name w:val="index 2"/>
    <w:basedOn w:val="Normal"/>
    <w:next w:val="Normal"/>
    <w:semiHidden/>
    <w:rsid w:val="007B12B6"/>
    <w:pPr>
      <w:tabs>
        <w:tab w:val="right" w:pos="4176"/>
      </w:tabs>
      <w:ind w:left="568" w:hanging="284"/>
    </w:pPr>
    <w:rPr>
      <w:rFonts w:ascii="Garamond" w:hAnsi="Garamond"/>
    </w:rPr>
  </w:style>
  <w:style w:type="paragraph" w:customStyle="1" w:styleId="Byline">
    <w:name w:val="Byline"/>
    <w:rsid w:val="007B12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2B6"/>
    <w:pPr>
      <w:tabs>
        <w:tab w:val="clear" w:pos="3600"/>
        <w:tab w:val="clear" w:pos="3958"/>
      </w:tabs>
      <w:jc w:val="right"/>
    </w:pPr>
  </w:style>
  <w:style w:type="character" w:styleId="Emphasis">
    <w:name w:val="Emphasis"/>
    <w:basedOn w:val="DefaultParagraphFont"/>
    <w:qFormat/>
    <w:rsid w:val="007B12B6"/>
    <w:rPr>
      <w:i/>
    </w:rPr>
  </w:style>
  <w:style w:type="paragraph" w:styleId="Caption">
    <w:name w:val="caption"/>
    <w:basedOn w:val="BodyText"/>
    <w:next w:val="Normal"/>
    <w:qFormat/>
    <w:rsid w:val="007B12B6"/>
    <w:pPr>
      <w:framePr w:w="2268" w:hSpace="181" w:vSpace="181" w:wrap="around" w:vAnchor="text" w:hAnchor="page" w:x="1135" w:y="285" w:anchorLock="1"/>
    </w:pPr>
    <w:rPr>
      <w:i/>
    </w:rPr>
  </w:style>
  <w:style w:type="paragraph" w:customStyle="1" w:styleId="MiniTOCTitle">
    <w:name w:val="MiniTOCTitle"/>
    <w:basedOn w:val="Heading4"/>
    <w:rsid w:val="007B12B6"/>
    <w:pPr>
      <w:spacing w:before="240"/>
      <w:outlineLvl w:val="9"/>
    </w:pPr>
    <w:rPr>
      <w:noProof/>
      <w:sz w:val="24"/>
    </w:rPr>
  </w:style>
  <w:style w:type="paragraph" w:customStyle="1" w:styleId="MiniTOCItem">
    <w:name w:val="MiniTOCItem"/>
    <w:basedOn w:val="ListBullet"/>
    <w:rsid w:val="007B12B6"/>
    <w:pPr>
      <w:numPr>
        <w:numId w:val="0"/>
      </w:numPr>
      <w:tabs>
        <w:tab w:val="right" w:leader="dot" w:pos="6521"/>
      </w:tabs>
      <w:spacing w:before="0" w:after="0"/>
    </w:pPr>
  </w:style>
  <w:style w:type="paragraph" w:customStyle="1" w:styleId="TOFTitle">
    <w:name w:val="TOFTitle"/>
    <w:basedOn w:val="TOCTitle"/>
    <w:rsid w:val="007B12B6"/>
  </w:style>
  <w:style w:type="paragraph" w:styleId="TableofFigures">
    <w:name w:val="table of figures"/>
    <w:basedOn w:val="Normal"/>
    <w:next w:val="Normal"/>
    <w:semiHidden/>
    <w:rsid w:val="007B12B6"/>
    <w:pPr>
      <w:tabs>
        <w:tab w:val="right" w:leader="dot" w:pos="9072"/>
      </w:tabs>
      <w:ind w:left="970" w:hanging="403"/>
    </w:pPr>
    <w:rPr>
      <w:rFonts w:ascii="Times New Roman" w:hAnsi="Times New Roman"/>
      <w:b/>
    </w:rPr>
  </w:style>
  <w:style w:type="paragraph" w:styleId="ListNumber">
    <w:name w:val="List Number"/>
    <w:basedOn w:val="List"/>
    <w:rsid w:val="007B12B6"/>
    <w:pPr>
      <w:numPr>
        <w:numId w:val="11"/>
      </w:numPr>
    </w:pPr>
  </w:style>
  <w:style w:type="character" w:customStyle="1" w:styleId="WingdingSymbols">
    <w:name w:val="Wingding Symbols"/>
    <w:rsid w:val="007B12B6"/>
    <w:rPr>
      <w:rFonts w:ascii="Wingdings" w:hAnsi="Wingdings"/>
    </w:rPr>
  </w:style>
  <w:style w:type="paragraph" w:customStyle="1" w:styleId="TableHeading">
    <w:name w:val="Table Heading"/>
    <w:basedOn w:val="HeadingBase"/>
    <w:rsid w:val="007B12B6"/>
    <w:pPr>
      <w:keepLines/>
      <w:pBdr>
        <w:bottom w:val="single" w:sz="6" w:space="1" w:color="918585"/>
      </w:pBdr>
      <w:spacing w:before="240"/>
    </w:pPr>
  </w:style>
  <w:style w:type="character" w:customStyle="1" w:styleId="HotSpot">
    <w:name w:val="HotSpot"/>
    <w:rsid w:val="007B12B6"/>
    <w:rPr>
      <w:color w:val="0033CC"/>
      <w:u w:val="none"/>
    </w:rPr>
  </w:style>
  <w:style w:type="paragraph" w:customStyle="1" w:styleId="BodyTextRight">
    <w:name w:val="Body Text Right"/>
    <w:basedOn w:val="BodyText"/>
    <w:rsid w:val="007B12B6"/>
    <w:pPr>
      <w:spacing w:before="0" w:after="0"/>
      <w:jc w:val="right"/>
    </w:pPr>
  </w:style>
  <w:style w:type="paragraph" w:styleId="Index3">
    <w:name w:val="index 3"/>
    <w:basedOn w:val="ListNumber2"/>
    <w:next w:val="Normal"/>
    <w:semiHidden/>
    <w:rsid w:val="007B12B6"/>
    <w:pPr>
      <w:numPr>
        <w:numId w:val="0"/>
      </w:numPr>
      <w:tabs>
        <w:tab w:val="right" w:leader="dot" w:pos="4176"/>
      </w:tabs>
    </w:pPr>
  </w:style>
  <w:style w:type="paragraph" w:styleId="ListNumber2">
    <w:name w:val="List Number 2"/>
    <w:basedOn w:val="List2"/>
    <w:rsid w:val="007B12B6"/>
    <w:pPr>
      <w:numPr>
        <w:numId w:val="10"/>
      </w:numPr>
      <w:tabs>
        <w:tab w:val="clear" w:pos="1060"/>
      </w:tabs>
    </w:pPr>
  </w:style>
  <w:style w:type="paragraph" w:customStyle="1" w:styleId="MarginNote">
    <w:name w:val="Margin Note"/>
    <w:basedOn w:val="BodyText"/>
    <w:rsid w:val="007B12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2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2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2B6"/>
    <w:rPr>
      <w:sz w:val="32"/>
    </w:rPr>
  </w:style>
  <w:style w:type="paragraph" w:customStyle="1" w:styleId="HeadingProcedure">
    <w:name w:val="Heading Procedure"/>
    <w:basedOn w:val="HeadingBase"/>
    <w:next w:val="Normal"/>
    <w:rsid w:val="007B12B6"/>
    <w:pPr>
      <w:tabs>
        <w:tab w:val="left" w:pos="0"/>
      </w:tabs>
      <w:spacing w:before="120" w:after="60"/>
    </w:pPr>
    <w:rPr>
      <w:i/>
      <w:color w:val="918585"/>
      <w:sz w:val="22"/>
    </w:rPr>
  </w:style>
  <w:style w:type="paragraph" w:customStyle="1" w:styleId="TableBodyText">
    <w:name w:val="Table Body Text"/>
    <w:basedOn w:val="BodyText"/>
    <w:rsid w:val="007B12B6"/>
    <w:pPr>
      <w:spacing w:before="60" w:after="60"/>
    </w:pPr>
  </w:style>
  <w:style w:type="paragraph" w:styleId="ListContinue">
    <w:name w:val="List Continue"/>
    <w:basedOn w:val="List"/>
    <w:rsid w:val="007B12B6"/>
    <w:pPr>
      <w:ind w:firstLine="0"/>
    </w:pPr>
  </w:style>
  <w:style w:type="paragraph" w:customStyle="1" w:styleId="ListNote">
    <w:name w:val="List Note"/>
    <w:basedOn w:val="List"/>
    <w:rsid w:val="007B12B6"/>
    <w:pPr>
      <w:pBdr>
        <w:top w:val="single" w:sz="6" w:space="2" w:color="918585"/>
        <w:bottom w:val="single" w:sz="6" w:space="2" w:color="918585"/>
      </w:pBdr>
      <w:tabs>
        <w:tab w:val="left" w:pos="1021"/>
      </w:tabs>
      <w:ind w:firstLine="0"/>
    </w:pPr>
  </w:style>
  <w:style w:type="paragraph" w:customStyle="1" w:styleId="Warning">
    <w:name w:val="Warning"/>
    <w:basedOn w:val="BodyText"/>
    <w:rsid w:val="007B12B6"/>
    <w:pPr>
      <w:shd w:val="clear" w:color="auto" w:fill="D9D9D9"/>
      <w:tabs>
        <w:tab w:val="left" w:pos="992"/>
      </w:tabs>
      <w:ind w:left="119" w:right="119"/>
    </w:pPr>
    <w:rPr>
      <w:sz w:val="20"/>
    </w:rPr>
  </w:style>
  <w:style w:type="paragraph" w:customStyle="1" w:styleId="MarginIcons">
    <w:name w:val="Margin Icons"/>
    <w:basedOn w:val="BodyText"/>
    <w:rsid w:val="007B12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2B6"/>
    <w:rPr>
      <w:rFonts w:ascii="Courier New" w:hAnsi="Courier New"/>
    </w:rPr>
  </w:style>
  <w:style w:type="paragraph" w:customStyle="1" w:styleId="NoteBullet">
    <w:name w:val="Note Bullet"/>
    <w:basedOn w:val="Note"/>
    <w:rsid w:val="007B12B6"/>
    <w:pPr>
      <w:tabs>
        <w:tab w:val="clear" w:pos="680"/>
      </w:tabs>
      <w:spacing w:before="60" w:after="60"/>
    </w:pPr>
  </w:style>
  <w:style w:type="paragraph" w:customStyle="1" w:styleId="SubHeading2">
    <w:name w:val="SubHeading2"/>
    <w:basedOn w:val="HeadingBase"/>
    <w:rsid w:val="007B12B6"/>
    <w:pPr>
      <w:spacing w:before="240" w:after="60"/>
    </w:pPr>
    <w:rPr>
      <w:sz w:val="20"/>
    </w:rPr>
  </w:style>
  <w:style w:type="paragraph" w:customStyle="1" w:styleId="SubHeading1">
    <w:name w:val="SubHeading1"/>
    <w:basedOn w:val="HeadingBase"/>
    <w:rsid w:val="007B12B6"/>
    <w:pPr>
      <w:spacing w:before="240" w:after="60"/>
    </w:pPr>
    <w:rPr>
      <w:color w:val="918585"/>
      <w:sz w:val="22"/>
    </w:rPr>
  </w:style>
  <w:style w:type="paragraph" w:customStyle="1" w:styleId="SideHeading">
    <w:name w:val="Side Heading"/>
    <w:basedOn w:val="HeadingBase"/>
    <w:rsid w:val="007B12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2B6"/>
    <w:pPr>
      <w:numPr>
        <w:numId w:val="12"/>
      </w:numPr>
    </w:pPr>
  </w:style>
  <w:style w:type="paragraph" w:styleId="PlainText">
    <w:name w:val="Plain Text"/>
    <w:basedOn w:val="Normal"/>
    <w:link w:val="PlainTextChar"/>
    <w:rsid w:val="007B12B6"/>
    <w:rPr>
      <w:sz w:val="20"/>
    </w:rPr>
  </w:style>
  <w:style w:type="character" w:customStyle="1" w:styleId="PlainTextChar">
    <w:name w:val="Plain Text Char"/>
    <w:basedOn w:val="DefaultParagraphFont"/>
    <w:link w:val="PlainText"/>
    <w:rsid w:val="007B12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12B6"/>
    <w:rPr>
      <w:b/>
      <w:smallCaps/>
    </w:rPr>
  </w:style>
  <w:style w:type="paragraph" w:customStyle="1" w:styleId="TableListNumber">
    <w:name w:val="Table List Number"/>
    <w:basedOn w:val="ListNumber"/>
    <w:rsid w:val="007B12B6"/>
    <w:pPr>
      <w:numPr>
        <w:numId w:val="0"/>
      </w:numPr>
    </w:pPr>
  </w:style>
  <w:style w:type="paragraph" w:styleId="TOC4">
    <w:name w:val="toc 4"/>
    <w:basedOn w:val="TOCBase"/>
    <w:next w:val="Normal"/>
    <w:semiHidden/>
    <w:rsid w:val="007B12B6"/>
    <w:pPr>
      <w:tabs>
        <w:tab w:val="right" w:leader="dot" w:pos="9071"/>
      </w:tabs>
      <w:ind w:left="1701"/>
    </w:pPr>
  </w:style>
  <w:style w:type="paragraph" w:customStyle="1" w:styleId="ListAlpha">
    <w:name w:val="List Alpha"/>
    <w:basedOn w:val="List"/>
    <w:rsid w:val="007B12B6"/>
    <w:pPr>
      <w:numPr>
        <w:numId w:val="9"/>
      </w:numPr>
    </w:pPr>
  </w:style>
  <w:style w:type="paragraph" w:customStyle="1" w:styleId="ListAlpha2">
    <w:name w:val="List Alpha 2"/>
    <w:basedOn w:val="List2"/>
    <w:rsid w:val="007B12B6"/>
    <w:pPr>
      <w:numPr>
        <w:numId w:val="8"/>
      </w:numPr>
    </w:pPr>
  </w:style>
  <w:style w:type="paragraph" w:styleId="List2">
    <w:name w:val="List 2"/>
    <w:basedOn w:val="BodyText"/>
    <w:rsid w:val="007B12B6"/>
    <w:pPr>
      <w:tabs>
        <w:tab w:val="left" w:pos="680"/>
      </w:tabs>
      <w:spacing w:before="60" w:after="60"/>
      <w:ind w:left="680" w:hanging="340"/>
    </w:pPr>
  </w:style>
  <w:style w:type="paragraph" w:styleId="List3">
    <w:name w:val="List 3"/>
    <w:basedOn w:val="BodyText"/>
    <w:rsid w:val="007B12B6"/>
    <w:pPr>
      <w:tabs>
        <w:tab w:val="left" w:pos="1021"/>
      </w:tabs>
      <w:spacing w:before="60" w:after="60"/>
      <w:ind w:left="1020" w:hanging="340"/>
    </w:pPr>
  </w:style>
  <w:style w:type="paragraph" w:styleId="List4">
    <w:name w:val="List 4"/>
    <w:basedOn w:val="BodyText"/>
    <w:rsid w:val="007B12B6"/>
    <w:pPr>
      <w:tabs>
        <w:tab w:val="left" w:pos="1361"/>
      </w:tabs>
      <w:spacing w:before="60" w:after="60"/>
      <w:ind w:left="1361" w:hanging="340"/>
    </w:pPr>
  </w:style>
  <w:style w:type="paragraph" w:styleId="List5">
    <w:name w:val="List 5"/>
    <w:basedOn w:val="BodyText"/>
    <w:rsid w:val="007B12B6"/>
    <w:pPr>
      <w:tabs>
        <w:tab w:val="left" w:pos="1701"/>
      </w:tabs>
      <w:spacing w:before="60" w:after="60"/>
      <w:ind w:left="1701" w:hanging="340"/>
    </w:pPr>
  </w:style>
  <w:style w:type="paragraph" w:styleId="ListBullet3">
    <w:name w:val="List Bullet 3"/>
    <w:basedOn w:val="List3"/>
    <w:rsid w:val="007B12B6"/>
    <w:pPr>
      <w:numPr>
        <w:numId w:val="15"/>
      </w:numPr>
      <w:tabs>
        <w:tab w:val="clear" w:pos="1021"/>
      </w:tabs>
      <w:ind w:left="1037" w:hanging="357"/>
    </w:pPr>
  </w:style>
  <w:style w:type="paragraph" w:styleId="ListBullet4">
    <w:name w:val="List Bullet 4"/>
    <w:basedOn w:val="List4"/>
    <w:rsid w:val="007B12B6"/>
    <w:pPr>
      <w:numPr>
        <w:numId w:val="3"/>
      </w:numPr>
    </w:pPr>
  </w:style>
  <w:style w:type="paragraph" w:styleId="ListBullet5">
    <w:name w:val="List Bullet 5"/>
    <w:basedOn w:val="List5"/>
    <w:rsid w:val="007B12B6"/>
    <w:pPr>
      <w:numPr>
        <w:numId w:val="4"/>
      </w:numPr>
    </w:pPr>
  </w:style>
  <w:style w:type="paragraph" w:styleId="ListContinue2">
    <w:name w:val="List Continue 2"/>
    <w:basedOn w:val="List2"/>
    <w:rsid w:val="007B12B6"/>
    <w:pPr>
      <w:ind w:firstLine="0"/>
    </w:pPr>
  </w:style>
  <w:style w:type="paragraph" w:styleId="ListContinue3">
    <w:name w:val="List Continue 3"/>
    <w:basedOn w:val="List3"/>
    <w:rsid w:val="007B12B6"/>
    <w:pPr>
      <w:ind w:left="1021" w:firstLine="0"/>
    </w:pPr>
  </w:style>
  <w:style w:type="paragraph" w:styleId="ListContinue4">
    <w:name w:val="List Continue 4"/>
    <w:basedOn w:val="List4"/>
    <w:rsid w:val="007B12B6"/>
    <w:pPr>
      <w:ind w:firstLine="0"/>
    </w:pPr>
  </w:style>
  <w:style w:type="paragraph" w:styleId="ListContinue5">
    <w:name w:val="List Continue 5"/>
    <w:basedOn w:val="List5"/>
    <w:rsid w:val="007B12B6"/>
    <w:pPr>
      <w:ind w:firstLine="0"/>
    </w:pPr>
  </w:style>
  <w:style w:type="paragraph" w:styleId="ListNumber3">
    <w:name w:val="List Number 3"/>
    <w:basedOn w:val="List3"/>
    <w:rsid w:val="007B12B6"/>
    <w:pPr>
      <w:numPr>
        <w:numId w:val="5"/>
      </w:numPr>
    </w:pPr>
  </w:style>
  <w:style w:type="paragraph" w:styleId="ListNumber4">
    <w:name w:val="List Number 4"/>
    <w:basedOn w:val="List4"/>
    <w:rsid w:val="007B12B6"/>
    <w:pPr>
      <w:numPr>
        <w:numId w:val="6"/>
      </w:numPr>
    </w:pPr>
  </w:style>
  <w:style w:type="paragraph" w:styleId="ListNumber5">
    <w:name w:val="List Number 5"/>
    <w:basedOn w:val="List5"/>
    <w:rsid w:val="007B12B6"/>
    <w:pPr>
      <w:numPr>
        <w:numId w:val="7"/>
      </w:numPr>
    </w:pPr>
  </w:style>
  <w:style w:type="paragraph" w:styleId="BlockText">
    <w:name w:val="Block Text"/>
    <w:basedOn w:val="Normal"/>
    <w:rsid w:val="007B12B6"/>
    <w:pPr>
      <w:spacing w:after="120"/>
      <w:ind w:left="1440" w:right="1440"/>
    </w:pPr>
  </w:style>
  <w:style w:type="character" w:customStyle="1" w:styleId="Subscript">
    <w:name w:val="Subscript"/>
    <w:basedOn w:val="DefaultParagraphFont"/>
    <w:rsid w:val="007B12B6"/>
    <w:rPr>
      <w:sz w:val="16"/>
      <w:vertAlign w:val="subscript"/>
    </w:rPr>
  </w:style>
  <w:style w:type="character" w:customStyle="1" w:styleId="Superscript">
    <w:name w:val="Superscript"/>
    <w:basedOn w:val="DefaultParagraphFont"/>
    <w:rsid w:val="007B12B6"/>
    <w:rPr>
      <w:sz w:val="16"/>
      <w:vertAlign w:val="superscript"/>
    </w:rPr>
  </w:style>
  <w:style w:type="character" w:customStyle="1" w:styleId="Symbols">
    <w:name w:val="Symbols"/>
    <w:basedOn w:val="DefaultParagraphFont"/>
    <w:rsid w:val="007B12B6"/>
    <w:rPr>
      <w:rFonts w:ascii="Symbol" w:hAnsi="Symbol"/>
    </w:rPr>
  </w:style>
  <w:style w:type="character" w:customStyle="1" w:styleId="MenuOptions">
    <w:name w:val="Menu Options"/>
    <w:basedOn w:val="DefaultParagraphFont"/>
    <w:rsid w:val="007B12B6"/>
    <w:rPr>
      <w:rFonts w:ascii="Arial Narrow" w:hAnsi="Arial Narrow"/>
      <w:smallCaps/>
    </w:rPr>
  </w:style>
  <w:style w:type="character" w:customStyle="1" w:styleId="Buttons">
    <w:name w:val="Buttons"/>
    <w:basedOn w:val="DefaultParagraphFont"/>
    <w:rsid w:val="007B12B6"/>
    <w:rPr>
      <w:b/>
    </w:rPr>
  </w:style>
  <w:style w:type="character" w:customStyle="1" w:styleId="Underlined">
    <w:name w:val="Underlined"/>
    <w:basedOn w:val="DefaultParagraphFont"/>
    <w:rsid w:val="007B12B6"/>
    <w:rPr>
      <w:u w:val="single"/>
    </w:rPr>
  </w:style>
  <w:style w:type="paragraph" w:customStyle="1" w:styleId="TableBodyTextRight">
    <w:name w:val="Table Body Text Right"/>
    <w:basedOn w:val="TableBodyText"/>
    <w:rsid w:val="007B12B6"/>
    <w:pPr>
      <w:widowControl w:val="0"/>
      <w:autoSpaceDE w:val="0"/>
      <w:autoSpaceDN w:val="0"/>
      <w:adjustRightInd w:val="0"/>
      <w:jc w:val="right"/>
    </w:pPr>
    <w:rPr>
      <w:rFonts w:cs="Arial"/>
      <w:szCs w:val="18"/>
    </w:rPr>
  </w:style>
  <w:style w:type="paragraph" w:customStyle="1" w:styleId="CopyrightText">
    <w:name w:val="Copyright Text"/>
    <w:basedOn w:val="BodyText"/>
    <w:rsid w:val="007B12B6"/>
    <w:rPr>
      <w:sz w:val="18"/>
    </w:rPr>
  </w:style>
  <w:style w:type="paragraph" w:customStyle="1" w:styleId="BodySmallRight">
    <w:name w:val="Body Small Right"/>
    <w:basedOn w:val="BodyTextRight"/>
    <w:rsid w:val="007B12B6"/>
    <w:rPr>
      <w:sz w:val="18"/>
      <w:szCs w:val="18"/>
    </w:rPr>
  </w:style>
  <w:style w:type="paragraph" w:customStyle="1" w:styleId="MarginEdition">
    <w:name w:val="Margin Edition"/>
    <w:basedOn w:val="MarginNote"/>
    <w:rsid w:val="007B12B6"/>
    <w:pPr>
      <w:spacing w:before="0" w:after="0"/>
    </w:pPr>
    <w:rPr>
      <w:rFonts w:ascii="Times New Roman" w:hAnsi="Times New Roman"/>
      <w:color w:val="999999"/>
    </w:rPr>
  </w:style>
  <w:style w:type="paragraph" w:customStyle="1" w:styleId="Spacer">
    <w:name w:val="Spacer"/>
    <w:basedOn w:val="Normal"/>
    <w:rsid w:val="007B12B6"/>
    <w:rPr>
      <w:sz w:val="2"/>
      <w:szCs w:val="2"/>
    </w:rPr>
  </w:style>
  <w:style w:type="character" w:customStyle="1" w:styleId="Small">
    <w:name w:val="Small"/>
    <w:basedOn w:val="DefaultParagraphFont"/>
    <w:rsid w:val="007B12B6"/>
    <w:rPr>
      <w:sz w:val="16"/>
    </w:rPr>
  </w:style>
  <w:style w:type="paragraph" w:customStyle="1" w:styleId="WideTable">
    <w:name w:val="Wide Table"/>
    <w:basedOn w:val="Normal"/>
    <w:rsid w:val="007B12B6"/>
    <w:pPr>
      <w:ind w:left="-1418"/>
    </w:pPr>
    <w:rPr>
      <w:sz w:val="2"/>
      <w:szCs w:val="2"/>
    </w:rPr>
  </w:style>
  <w:style w:type="character" w:styleId="PageNumber">
    <w:name w:val="page number"/>
    <w:basedOn w:val="DefaultParagraphFont"/>
    <w:rsid w:val="007B12B6"/>
  </w:style>
  <w:style w:type="paragraph" w:styleId="Quote">
    <w:name w:val="Quote"/>
    <w:basedOn w:val="Heading1"/>
    <w:link w:val="QuoteChar"/>
    <w:qFormat/>
    <w:rsid w:val="007B12B6"/>
    <w:rPr>
      <w:b w:val="0"/>
      <w:sz w:val="72"/>
      <w:szCs w:val="72"/>
      <w:lang w:val="en-NZ"/>
    </w:rPr>
  </w:style>
  <w:style w:type="character" w:customStyle="1" w:styleId="QuoteChar">
    <w:name w:val="Quote Char"/>
    <w:basedOn w:val="DefaultParagraphFont"/>
    <w:link w:val="Quote"/>
    <w:rsid w:val="007B12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2B6"/>
    <w:pPr>
      <w:pageBreakBefore/>
    </w:pPr>
  </w:style>
  <w:style w:type="paragraph" w:customStyle="1" w:styleId="Border">
    <w:name w:val="Border"/>
    <w:basedOn w:val="Normal"/>
    <w:qFormat/>
    <w:rsid w:val="007B12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2B6"/>
    <w:rPr>
      <w:b/>
      <w:bCs/>
      <w:i/>
      <w:iCs/>
      <w:color w:val="auto"/>
    </w:rPr>
  </w:style>
  <w:style w:type="paragraph" w:styleId="IntenseQuote">
    <w:name w:val="Intense Quote"/>
    <w:basedOn w:val="Normal"/>
    <w:next w:val="Normal"/>
    <w:link w:val="IntenseQuoteChar"/>
    <w:uiPriority w:val="30"/>
    <w:qFormat/>
    <w:rsid w:val="007B12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2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12B6"/>
    <w:rPr>
      <w:smallCaps/>
      <w:color w:val="auto"/>
      <w:u w:val="single"/>
    </w:rPr>
  </w:style>
  <w:style w:type="character" w:styleId="IntenseReference">
    <w:name w:val="Intense Reference"/>
    <w:basedOn w:val="DefaultParagraphFont"/>
    <w:uiPriority w:val="32"/>
    <w:qFormat/>
    <w:rsid w:val="007B12B6"/>
    <w:rPr>
      <w:b/>
      <w:bCs/>
      <w:smallCaps/>
      <w:color w:val="auto"/>
      <w:spacing w:val="5"/>
      <w:u w:val="single"/>
    </w:rPr>
  </w:style>
  <w:style w:type="paragraph" w:customStyle="1" w:styleId="2ColumnHeading">
    <w:name w:val="2Column Heading"/>
    <w:basedOn w:val="BodyText"/>
    <w:qFormat/>
    <w:rsid w:val="007B12B6"/>
    <w:pPr>
      <w:spacing w:after="60"/>
      <w:ind w:left="-2268"/>
    </w:pPr>
    <w:rPr>
      <w:b/>
    </w:rPr>
  </w:style>
  <w:style w:type="paragraph" w:customStyle="1" w:styleId="Heading1TOC">
    <w:name w:val="Heading1 TOC"/>
    <w:basedOn w:val="Normal"/>
    <w:qFormat/>
    <w:rsid w:val="007B12B6"/>
    <w:pPr>
      <w:spacing w:before="240" w:after="120"/>
    </w:pPr>
    <w:rPr>
      <w:rFonts w:ascii="Times New Roman" w:hAnsi="Times New Roman"/>
      <w:b/>
      <w:sz w:val="32"/>
    </w:rPr>
  </w:style>
  <w:style w:type="paragraph" w:customStyle="1" w:styleId="Heading2TOC">
    <w:name w:val="Heading2 TOC"/>
    <w:basedOn w:val="Normal"/>
    <w:qFormat/>
    <w:rsid w:val="007B12B6"/>
    <w:pPr>
      <w:spacing w:before="240" w:after="60"/>
    </w:pPr>
    <w:rPr>
      <w:rFonts w:ascii="Times New Roman" w:hAnsi="Times New Roman"/>
      <w:b/>
      <w:sz w:val="28"/>
    </w:rPr>
  </w:style>
  <w:style w:type="character" w:customStyle="1" w:styleId="Underline">
    <w:name w:val="Underline"/>
    <w:basedOn w:val="DefaultParagraphFont"/>
    <w:qFormat/>
    <w:rsid w:val="007B12B6"/>
    <w:rPr>
      <w:u w:val="single"/>
    </w:rPr>
  </w:style>
  <w:style w:type="paragraph" w:styleId="BalloonText">
    <w:name w:val="Balloon Text"/>
    <w:basedOn w:val="Normal"/>
    <w:link w:val="BalloonTextChar"/>
    <w:rsid w:val="007B12B6"/>
    <w:rPr>
      <w:rFonts w:ascii="Tahoma" w:hAnsi="Tahoma" w:cs="Tahoma"/>
      <w:sz w:val="16"/>
      <w:szCs w:val="16"/>
    </w:rPr>
  </w:style>
  <w:style w:type="character" w:customStyle="1" w:styleId="BalloonTextChar">
    <w:name w:val="Balloon Text Char"/>
    <w:basedOn w:val="DefaultParagraphFont"/>
    <w:link w:val="BalloonText"/>
    <w:rsid w:val="007B12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2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2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1562</Words>
  <Characters>10333</Characters>
  <Application>Microsoft Office Word</Application>
  <DocSecurity>0</DocSecurity>
  <Lines>497</Lines>
  <Paragraphs>274</Paragraphs>
  <ScaleCrop>false</ScaleCrop>
  <Company>Author-it Software Corporation Ltd.</Company>
  <LinksUpToDate>false</LinksUpToDate>
  <CharactersWithSpaces>11790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SIFMWK014A Treat the arterial system</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2012-05-26T21:35:00Z</dcterms:created>
  <dcterms:modified xsi:type="dcterms:W3CDTF">2012-05-26T21:35:00Z</dcterms:modified>
</cp:coreProperties>
</file>