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D12" w:rsidP="00875D12">
      <w:pPr>
        <w:pStyle w:val="Title"/>
      </w:pPr>
      <w:r>
        <w:fldChar w:fldCharType="begin"/>
      </w:r>
      <w:r>
        <w:instrText xml:space="preserve"> TITLE   \* MERGEFORMAT </w:instrText>
      </w:r>
      <w:r>
        <w:fldChar w:fldCharType="separate"/>
      </w:r>
      <w:r>
        <w:t>SIFMWK013A Determine embalming requirements</w:t>
      </w:r>
      <w:r>
        <w:fldChar w:fldCharType="end"/>
      </w:r>
    </w:p>
    <w:p w:rsidR="00875D12" w:rsidP="00875D12">
      <w:pPr>
        <w:pStyle w:val="Version"/>
        <w:sectPr w:rsidSect="004C50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C50AB" w:rsidP="004C50AB">
      <w:pPr>
        <w:pStyle w:val="SuperHeading"/>
      </w:pPr>
      <w:r w:rsidRPr="004C50AB">
        <w:t>SIFMWK013A Determine embalming requirements</w:t>
      </w:r>
    </w:p>
    <w:p w:rsidR="00000000" w:rsidRPr="004C50AB" w:rsidP="004C50AB">
      <w:pPr>
        <w:pStyle w:val="SuperHeading"/>
      </w:pPr>
    </w:p>
    <w:p w:rsidR="00000000" w:rsidRPr="004C50AB" w:rsidP="004C50AB">
      <w:pPr>
        <w:pStyle w:val="Heading1"/>
      </w:pPr>
      <w:bookmarkStart w:id="1" w:name="O_137079"/>
      <w:bookmarkEnd w:id="1"/>
      <w:r w:rsidRPr="004C50AB">
        <w:t>Modification History</w:t>
      </w:r>
    </w:p>
    <w:p w:rsidR="00000000" w:rsidRPr="004C50AB" w:rsidP="004C50AB">
      <w:pPr>
        <w:pStyle w:val="BodyText"/>
      </w:pPr>
      <w:r w:rsidRPr="004C50AB">
        <w:t>Not applicable.</w:t>
      </w:r>
    </w:p>
    <w:p w:rsidR="00000000" w:rsidRPr="004C50AB" w:rsidP="004C50AB">
      <w:pPr>
        <w:pStyle w:val="AllowPageBreak"/>
      </w:pPr>
    </w:p>
    <w:p w:rsidR="00000000" w:rsidRPr="004C50AB" w:rsidP="004C50AB">
      <w:pPr>
        <w:pStyle w:val="Heading1"/>
      </w:pPr>
      <w:bookmarkStart w:id="2" w:name="O_137080"/>
      <w:bookmarkEnd w:id="2"/>
      <w:r w:rsidRPr="004C50AB">
        <w:t>Unit Descriptor</w:t>
      </w:r>
    </w:p>
    <w:tbl>
      <w:tblPr>
        <w:tblW w:w="0" w:type="auto"/>
        <w:tblLayout w:type="fixed"/>
        <w:tblCellMar>
          <w:left w:w="62" w:type="dxa"/>
          <w:right w:w="62" w:type="dxa"/>
        </w:tblCellMar>
        <w:tblLook w:val="0000"/>
      </w:tblPr>
      <w:tblGrid>
        <w:gridCol w:w="2836"/>
        <w:gridCol w:w="6344"/>
      </w:tblGrid>
      <w:tr w:rsidTr="00875D1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t>This unit describes</w:t>
            </w:r>
            <w:r w:rsidRPr="004C50AB">
              <w:t xml:space="preserve"> the performance outcomes, skills and knowledge required to transfer a deceased person to a mortuary room and ascertain the body condition, classify the body and evaluate the effects and treatments for a range of body conditions and problems. </w:t>
            </w:r>
          </w:p>
        </w:tc>
      </w:tr>
      <w:tr w:rsidTr="00875D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C50AB" w:rsidP="004C50AB">
            <w:pPr>
              <w:pStyle w:val="BodyText"/>
            </w:pPr>
          </w:p>
        </w:tc>
      </w:tr>
    </w:tbl>
    <w:p w:rsidR="00000000" w:rsidRPr="004C50AB" w:rsidP="004C50AB">
      <w:pPr>
        <w:pStyle w:val="BodyText"/>
      </w:pPr>
    </w:p>
    <w:p w:rsidR="00000000" w:rsidRPr="004C50AB" w:rsidP="004C50AB">
      <w:pPr>
        <w:pStyle w:val="AllowPageBreak"/>
      </w:pPr>
    </w:p>
    <w:p w:rsidR="00000000" w:rsidRPr="004C50AB" w:rsidP="004C50AB">
      <w:pPr>
        <w:pStyle w:val="Heading1"/>
      </w:pPr>
      <w:bookmarkStart w:id="3" w:name="O_137081"/>
      <w:bookmarkEnd w:id="3"/>
      <w:r w:rsidRPr="004C50AB">
        <w:t>Application of the Unit</w:t>
      </w:r>
    </w:p>
    <w:tbl>
      <w:tblPr>
        <w:tblW w:w="0" w:type="auto"/>
        <w:tblLayout w:type="fixed"/>
        <w:tblCellMar>
          <w:left w:w="62" w:type="dxa"/>
          <w:right w:w="62" w:type="dxa"/>
        </w:tblCellMar>
        <w:tblLook w:val="0000"/>
      </w:tblPr>
      <w:tblGrid>
        <w:gridCol w:w="2836"/>
        <w:gridCol w:w="6344"/>
      </w:tblGrid>
      <w:tr w:rsidTr="00875D1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t>This unit applies to embalming staff and involves working autonomously with a high level of responsibility.</w:t>
            </w:r>
          </w:p>
        </w:tc>
      </w:tr>
      <w:tr w:rsidTr="00875D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C50AB" w:rsidP="004C50AB">
            <w:pPr>
              <w:pStyle w:val="BodyText"/>
            </w:pPr>
          </w:p>
        </w:tc>
      </w:tr>
    </w:tbl>
    <w:p w:rsidR="00000000" w:rsidRPr="004C50AB" w:rsidP="004C50AB">
      <w:pPr>
        <w:pStyle w:val="BodyText"/>
      </w:pPr>
    </w:p>
    <w:p w:rsidR="00000000" w:rsidRPr="004C50AB" w:rsidP="004C50AB">
      <w:pPr>
        <w:pStyle w:val="AllowPageBreak"/>
      </w:pPr>
    </w:p>
    <w:p w:rsidR="00000000" w:rsidRPr="004C50AB" w:rsidP="004C50AB">
      <w:pPr>
        <w:pStyle w:val="Heading1"/>
      </w:pPr>
      <w:bookmarkStart w:id="4" w:name="O_137082"/>
      <w:bookmarkEnd w:id="4"/>
      <w:r w:rsidRPr="004C50AB">
        <w:t>Licensing/Regulatory Information</w:t>
      </w:r>
    </w:p>
    <w:p w:rsidR="00000000" w:rsidRPr="004C50AB" w:rsidP="004C50AB">
      <w:pPr>
        <w:pStyle w:val="BodyText"/>
      </w:pPr>
      <w:r w:rsidRPr="004C50AB">
        <w:t>Not applicable.</w:t>
      </w:r>
    </w:p>
    <w:p w:rsidR="00000000" w:rsidRPr="004C50AB" w:rsidP="004C50AB">
      <w:pPr>
        <w:pStyle w:val="AllowPageBreak"/>
      </w:pPr>
    </w:p>
    <w:p w:rsidR="00000000" w:rsidRPr="004C50AB" w:rsidP="004C50AB">
      <w:pPr>
        <w:pStyle w:val="Heading1"/>
      </w:pPr>
      <w:bookmarkStart w:id="5" w:name="O_137084"/>
      <w:bookmarkEnd w:id="5"/>
      <w:r w:rsidRPr="004C50AB">
        <w:t>Pre-Requisites</w:t>
      </w:r>
    </w:p>
    <w:tbl>
      <w:tblPr>
        <w:tblW w:w="0" w:type="auto"/>
        <w:tblLayout w:type="fixed"/>
        <w:tblCellMar>
          <w:left w:w="62" w:type="dxa"/>
          <w:right w:w="62" w:type="dxa"/>
        </w:tblCellMar>
        <w:tblLook w:val="0000"/>
      </w:tblPr>
      <w:tblGrid>
        <w:gridCol w:w="2836"/>
        <w:gridCol w:w="6344"/>
      </w:tblGrid>
      <w:tr w:rsidTr="00875D1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t>Nil</w:t>
            </w:r>
          </w:p>
        </w:tc>
      </w:tr>
      <w:tr w:rsidTr="00875D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C50AB" w:rsidP="004C50AB">
            <w:pPr>
              <w:pStyle w:val="BodyText"/>
            </w:pPr>
          </w:p>
        </w:tc>
      </w:tr>
    </w:tbl>
    <w:p w:rsidR="00000000" w:rsidRPr="004C50AB" w:rsidP="004C50AB">
      <w:pPr>
        <w:pStyle w:val="BodyText"/>
      </w:pPr>
    </w:p>
    <w:p w:rsidR="00000000" w:rsidRPr="004C50AB" w:rsidP="004C50AB">
      <w:pPr>
        <w:pStyle w:val="AllowPageBreak"/>
      </w:pPr>
    </w:p>
    <w:p w:rsidR="00000000" w:rsidRPr="004C50AB" w:rsidP="004C50AB">
      <w:pPr>
        <w:pStyle w:val="Heading1"/>
      </w:pPr>
      <w:bookmarkStart w:id="6" w:name="O_137083"/>
      <w:bookmarkEnd w:id="6"/>
      <w:r w:rsidRPr="004C50AB">
        <w:t>Employability Skills Information</w:t>
      </w:r>
    </w:p>
    <w:tbl>
      <w:tblPr>
        <w:tblW w:w="0" w:type="auto"/>
        <w:tblLayout w:type="fixed"/>
        <w:tblCellMar>
          <w:left w:w="62" w:type="dxa"/>
          <w:right w:w="62" w:type="dxa"/>
        </w:tblCellMar>
        <w:tblLook w:val="0000"/>
      </w:tblPr>
      <w:tblGrid>
        <w:gridCol w:w="2836"/>
        <w:gridCol w:w="6344"/>
      </w:tblGrid>
      <w:tr w:rsidTr="00875D1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t>This unit contains employability skills.</w:t>
            </w:r>
          </w:p>
        </w:tc>
      </w:tr>
      <w:tr w:rsidTr="00875D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C50AB" w:rsidP="004C50AB">
            <w:pPr>
              <w:pStyle w:val="BodyText"/>
            </w:pPr>
          </w:p>
        </w:tc>
      </w:tr>
    </w:tbl>
    <w:p w:rsidR="00000000" w:rsidRPr="004C50AB" w:rsidP="004C50AB">
      <w:pPr>
        <w:pStyle w:val="BodyText"/>
      </w:pPr>
    </w:p>
    <w:p w:rsidR="00000000" w:rsidRPr="004C50AB" w:rsidP="004C50AB">
      <w:pPr>
        <w:pStyle w:val="AllowPageBreak"/>
      </w:pPr>
    </w:p>
    <w:p w:rsidR="00000000" w:rsidRPr="004C50AB" w:rsidP="004C50AB">
      <w:pPr>
        <w:pStyle w:val="Heading1"/>
      </w:pPr>
      <w:bookmarkStart w:id="7" w:name="O_137085"/>
      <w:bookmarkEnd w:id="7"/>
      <w:r w:rsidRPr="004C50AB">
        <w:t>Elements and Performance Criteria Pre-Content</w:t>
      </w:r>
    </w:p>
    <w:tbl>
      <w:tblPr>
        <w:tblW w:w="0" w:type="auto"/>
        <w:tblLayout w:type="fixed"/>
        <w:tblCellMar>
          <w:left w:w="62" w:type="dxa"/>
          <w:right w:w="62" w:type="dxa"/>
        </w:tblCellMar>
        <w:tblLook w:val="0000"/>
      </w:tblPr>
      <w:tblGrid>
        <w:gridCol w:w="2836"/>
        <w:gridCol w:w="6344"/>
      </w:tblGrid>
      <w:tr w:rsidTr="00875D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C50AB" w:rsidP="004C50AB">
            <w:pPr>
              <w:pStyle w:val="BodyText"/>
            </w:pPr>
            <w:r w:rsidRPr="004C50AB">
              <w:t>Performance criteria describe the required performance needed to demonstrate achievement of the element. Where bold italicised text is used, further information is detailed in the required s</w:t>
            </w:r>
            <w:r w:rsidRPr="004C50AB">
              <w:t>kills and knowledge and/or the range statement. Assessment of performance is to be consistent with the evidence guide.</w:t>
            </w:r>
          </w:p>
        </w:tc>
      </w:tr>
    </w:tbl>
    <w:p w:rsidR="00000000" w:rsidRPr="004C50AB" w:rsidP="004C50AB">
      <w:pPr>
        <w:pStyle w:val="BodyText"/>
      </w:pPr>
    </w:p>
    <w:p w:rsidR="00000000" w:rsidRPr="004C50AB" w:rsidP="004C50AB">
      <w:pPr>
        <w:pStyle w:val="AllowPageBreak"/>
      </w:pPr>
    </w:p>
    <w:p w:rsidR="00000000" w:rsidRPr="004C50AB" w:rsidP="004C50AB">
      <w:pPr>
        <w:pStyle w:val="Heading1"/>
      </w:pPr>
      <w:bookmarkStart w:id="8" w:name="O_137086"/>
      <w:bookmarkEnd w:id="8"/>
      <w:r w:rsidRPr="004C50A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75D1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C50AB" w:rsidP="004C50AB">
            <w:pPr>
              <w:pStyle w:val="List"/>
            </w:pPr>
            <w:r w:rsidRPr="004C50A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rPr>
                <w:rStyle w:val="SpecialBold"/>
              </w:rPr>
              <w:t>PERFORMANCE CRITERIA</w:t>
            </w:r>
          </w:p>
        </w:tc>
      </w:tr>
      <w:tr w:rsidTr="00875D1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1</w:t>
            </w:r>
          </w:p>
        </w:tc>
        <w:tc>
          <w:tcPr>
            <w:tcW w:w="2410" w:type="dxa"/>
            <w:vMerge w:val="restart"/>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Prepare for a pre-embalming case analysis.</w:t>
            </w:r>
          </w:p>
        </w:tc>
        <w:tc>
          <w:tcPr>
            <w:tcW w:w="56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1.1</w:t>
            </w:r>
          </w:p>
        </w:tc>
        <w:tc>
          <w:tcPr>
            <w:tcW w:w="577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 xml:space="preserve">Identify and prepare mortuary area and appropriate </w:t>
            </w:r>
            <w:r w:rsidRPr="004C50AB">
              <w:rPr>
                <w:rStyle w:val="BoldandItalics"/>
              </w:rPr>
              <w:t>mortuary instruments and equipment</w:t>
            </w:r>
            <w:r w:rsidRPr="004C50AB">
              <w:t xml:space="preserve"> according to </w:t>
            </w:r>
            <w:r w:rsidRPr="004C50AB">
              <w:rPr>
                <w:rStyle w:val="BoldandItalics"/>
              </w:rPr>
              <w:t>workplace policies and procedures</w:t>
            </w:r>
            <w:r w:rsidRPr="004C50AB">
              <w:t xml:space="preserve">, </w:t>
            </w:r>
            <w:r w:rsidRPr="004C50AB">
              <w:rPr>
                <w:rStyle w:val="BoldandItalics"/>
              </w:rPr>
              <w:t>relevant legislation</w:t>
            </w:r>
            <w:r w:rsidRPr="004C50AB">
              <w:t xml:space="preserve"> and </w:t>
            </w:r>
            <w:r w:rsidRPr="004C50AB">
              <w:rPr>
                <w:rStyle w:val="BoldandItalics"/>
              </w:rPr>
              <w:t>infection control practices</w:t>
            </w:r>
            <w:r w:rsidRPr="004C50AB">
              <w:t>.</w:t>
            </w:r>
          </w:p>
        </w:tc>
      </w:tr>
      <w:tr w:rsidTr="00875D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1.2</w:t>
            </w:r>
          </w:p>
        </w:tc>
        <w:tc>
          <w:tcPr>
            <w:tcW w:w="577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 xml:space="preserve">Prepare and use </w:t>
            </w:r>
            <w:r w:rsidRPr="004C50AB">
              <w:rPr>
                <w:rStyle w:val="BoldandItalics"/>
              </w:rPr>
              <w:t>personal protective equipment</w:t>
            </w:r>
            <w:r w:rsidRPr="004C50AB">
              <w:t xml:space="preserve"> according </w:t>
            </w:r>
            <w:r w:rsidRPr="004C50AB">
              <w:t>to workplace policies and procedures, and relevant legislation.</w:t>
            </w:r>
          </w:p>
        </w:tc>
      </w:tr>
      <w:tr w:rsidTr="00875D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1.3</w:t>
            </w:r>
          </w:p>
        </w:tc>
        <w:tc>
          <w:tcPr>
            <w:tcW w:w="577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Transfer the deceased person from mortuary refrigerator to mortuary room according to workplace policies and procedures, and relevant legislation.</w:t>
            </w:r>
          </w:p>
        </w:tc>
      </w:tr>
      <w:tr w:rsidTr="00875D1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4C50A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1.4</w:t>
            </w:r>
          </w:p>
        </w:tc>
        <w:tc>
          <w:tcPr>
            <w:tcW w:w="577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 xml:space="preserve">Confirm death using appropriate </w:t>
            </w:r>
            <w:r w:rsidRPr="004C50AB">
              <w:rPr>
                <w:rStyle w:val="BoldandItalics"/>
              </w:rPr>
              <w:t>non</w:t>
            </w:r>
            <w:r w:rsidRPr="004C50AB">
              <w:t>-</w:t>
            </w:r>
            <w:r w:rsidRPr="004C50AB">
              <w:rPr>
                <w:rStyle w:val="BoldandItalics"/>
              </w:rPr>
              <w:t>invasive observation techniques</w:t>
            </w:r>
            <w:r w:rsidRPr="004C50AB">
              <w:t>.</w:t>
            </w:r>
          </w:p>
        </w:tc>
      </w:tr>
      <w:tr w:rsidTr="00875D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1.5</w:t>
            </w:r>
          </w:p>
        </w:tc>
        <w:tc>
          <w:tcPr>
            <w:tcW w:w="577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 xml:space="preserve">Identify and respect </w:t>
            </w:r>
            <w:r w:rsidRPr="004C50AB">
              <w:rPr>
                <w:rStyle w:val="BoldandItalics"/>
              </w:rPr>
              <w:t>social</w:t>
            </w:r>
            <w:r w:rsidRPr="004C50AB">
              <w:t xml:space="preserve">, </w:t>
            </w:r>
            <w:r w:rsidRPr="004C50AB">
              <w:rPr>
                <w:rStyle w:val="BoldandItalics"/>
              </w:rPr>
              <w:t>cultural and religious requirements</w:t>
            </w:r>
            <w:r w:rsidRPr="004C50AB">
              <w:t>.</w:t>
            </w:r>
          </w:p>
        </w:tc>
      </w:tr>
      <w:tr w:rsidTr="00875D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1.6</w:t>
            </w:r>
          </w:p>
        </w:tc>
        <w:tc>
          <w:tcPr>
            <w:tcW w:w="577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Advise team members of the extent of the procedure to be performed and associated precautions that may need to be taken and discuss emotional issues likely to be encountered with a particular case.</w:t>
            </w:r>
          </w:p>
        </w:tc>
      </w:tr>
      <w:tr w:rsidTr="00875D1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2</w:t>
            </w:r>
          </w:p>
        </w:tc>
        <w:tc>
          <w:tcPr>
            <w:tcW w:w="2410" w:type="dxa"/>
            <w:vMerge w:val="restart"/>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Analyse embalming requirements.</w:t>
            </w:r>
          </w:p>
        </w:tc>
        <w:tc>
          <w:tcPr>
            <w:tcW w:w="56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2.1</w:t>
            </w:r>
          </w:p>
        </w:tc>
        <w:tc>
          <w:tcPr>
            <w:tcW w:w="577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Categorise the dece</w:t>
            </w:r>
            <w:r w:rsidRPr="004C50AB">
              <w:t xml:space="preserve">ased into an appropriate </w:t>
            </w:r>
            <w:r w:rsidRPr="004C50AB">
              <w:rPr>
                <w:rStyle w:val="BoldandItalics"/>
              </w:rPr>
              <w:t>body classification</w:t>
            </w:r>
            <w:r w:rsidRPr="004C50AB">
              <w:t>.</w:t>
            </w:r>
          </w:p>
        </w:tc>
      </w:tr>
      <w:tr w:rsidTr="00875D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2.2</w:t>
            </w:r>
          </w:p>
        </w:tc>
        <w:tc>
          <w:tcPr>
            <w:tcW w:w="577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Identify physical and chemical changes of the body.</w:t>
            </w:r>
          </w:p>
        </w:tc>
      </w:tr>
      <w:tr w:rsidTr="00875D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2.3</w:t>
            </w:r>
          </w:p>
        </w:tc>
        <w:tc>
          <w:tcPr>
            <w:tcW w:w="577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 xml:space="preserve">Inspect the body for a range of </w:t>
            </w:r>
            <w:r w:rsidRPr="004C50AB">
              <w:rPr>
                <w:rStyle w:val="BoldandItalics"/>
              </w:rPr>
              <w:t>body conditions</w:t>
            </w:r>
            <w:r w:rsidRPr="004C50AB">
              <w:t xml:space="preserve"> using appropriate instruments, apparatus and materials.</w:t>
            </w:r>
          </w:p>
        </w:tc>
      </w:tr>
      <w:tr w:rsidTr="00875D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2.4</w:t>
            </w:r>
          </w:p>
        </w:tc>
        <w:tc>
          <w:tcPr>
            <w:tcW w:w="577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Identify and e</w:t>
            </w:r>
            <w:r w:rsidRPr="004C50AB">
              <w:t>valuate effects and treatments required for any identified body conditions.</w:t>
            </w:r>
          </w:p>
        </w:tc>
      </w:tr>
      <w:tr w:rsidTr="00875D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C50AB">
            <w:pPr>
              <w:pStyle w:val="List"/>
              <w:rPr>
                <w:lang w:val="en-NZ"/>
              </w:rPr>
            </w:pPr>
            <w:r w:rsidRPr="004C50AB">
              <w:t>2.5</w:t>
            </w:r>
          </w:p>
        </w:tc>
        <w:tc>
          <w:tcPr>
            <w:tcW w:w="5777" w:type="dxa"/>
            <w:tcBorders>
              <w:top w:val="nil"/>
              <w:left w:val="nil"/>
              <w:bottom w:val="nil"/>
              <w:right w:val="nil"/>
            </w:tcBorders>
            <w:tcMar>
              <w:top w:w="0" w:type="dxa"/>
              <w:left w:w="62" w:type="dxa"/>
              <w:bottom w:w="0" w:type="dxa"/>
              <w:right w:w="62" w:type="dxa"/>
            </w:tcMar>
          </w:tcPr>
          <w:p w:rsidR="00000000" w:rsidRPr="004C50AB" w:rsidP="004C50AB">
            <w:pPr>
              <w:pStyle w:val="List"/>
            </w:pPr>
            <w:r w:rsidRPr="004C50AB">
              <w:t xml:space="preserve">Determine appropriate embalming techniques and required solution quantity, strength, pressures and rates of flow, taking into account identified body conditions and effects </w:t>
            </w:r>
            <w:r w:rsidRPr="004C50AB">
              <w:t>of different treatments.</w:t>
            </w:r>
          </w:p>
        </w:tc>
      </w:tr>
    </w:tbl>
    <w:p w:rsidR="00000000" w:rsidRPr="004C50AB" w:rsidP="004C50AB">
      <w:pPr>
        <w:pStyle w:val="BodyText"/>
      </w:pPr>
    </w:p>
    <w:p w:rsidR="00000000" w:rsidRPr="004C50AB" w:rsidP="004C50AB">
      <w:pPr>
        <w:pStyle w:val="AllowPageBreak"/>
      </w:pPr>
    </w:p>
    <w:p w:rsidR="00000000" w:rsidRPr="004C50AB" w:rsidP="004C50AB">
      <w:pPr>
        <w:pStyle w:val="Heading1"/>
      </w:pPr>
      <w:bookmarkStart w:id="9" w:name="O_137087"/>
      <w:bookmarkEnd w:id="9"/>
      <w:r w:rsidRPr="004C50AB">
        <w:t>Required Skills and Knowledge</w:t>
      </w:r>
    </w:p>
    <w:tbl>
      <w:tblPr>
        <w:tblW w:w="0" w:type="auto"/>
        <w:tblLayout w:type="fixed"/>
        <w:tblCellMar>
          <w:left w:w="62" w:type="dxa"/>
          <w:right w:w="62" w:type="dxa"/>
        </w:tblCellMar>
        <w:tblLook w:val="0000"/>
      </w:tblPr>
      <w:tblGrid>
        <w:gridCol w:w="9180"/>
      </w:tblGrid>
      <w:tr w:rsidTr="00875D1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REQUIRED SKILLS AND KNOWLEDGE</w:t>
            </w:r>
          </w:p>
        </w:tc>
      </w:tr>
      <w:tr w:rsidTr="00875D1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t>This section describes the skills and knowledge required for this unit.</w:t>
            </w:r>
          </w:p>
        </w:tc>
      </w:tr>
      <w:tr w:rsidTr="00875D1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C50AB" w:rsidP="004C50AB">
            <w:pPr>
              <w:pStyle w:val="BodyText"/>
            </w:pPr>
            <w:r w:rsidRPr="004C50AB">
              <w:rPr>
                <w:rStyle w:val="SpecialBold"/>
              </w:rPr>
              <w:t>Required skills</w:t>
            </w:r>
            <w:r w:rsidRPr="004C50AB">
              <w:t xml:space="preserve"> </w:t>
            </w:r>
          </w:p>
          <w:p w:rsidR="00000000" w:rsidRPr="004C50AB" w:rsidP="004C50AB">
            <w:pPr>
              <w:pStyle w:val="ListBullet"/>
            </w:pPr>
            <w:r w:rsidRPr="004C50AB">
              <w:t>communication skills, including clear and direct communication and active listening and questioning techniques, to advise team members of embalming procedures and precautions and identify potential emotional issues</w:t>
            </w:r>
          </w:p>
          <w:p w:rsidR="00000000" w:rsidRPr="004C50AB" w:rsidP="004C50AB">
            <w:pPr>
              <w:pStyle w:val="ListBullet"/>
            </w:pPr>
            <w:r w:rsidRPr="004C50AB">
              <w:t>problem-solving skills to identify effect</w:t>
            </w:r>
            <w:r w:rsidRPr="004C50AB">
              <w:t>s of body conditions and appropriate treatments</w:t>
            </w:r>
          </w:p>
          <w:p w:rsidR="00000000" w:rsidRPr="004C50AB" w:rsidP="004C50AB">
            <w:pPr>
              <w:pStyle w:val="ListBullet"/>
            </w:pPr>
            <w:r w:rsidRPr="004C50AB">
              <w:t>literacy and numeracy skills to identify and calculate appropriate solution requirements according to different body conditions and treatments</w:t>
            </w:r>
          </w:p>
          <w:p w:rsidR="00000000" w:rsidP="004C50AB">
            <w:pPr>
              <w:pStyle w:val="ListBullet"/>
              <w:rPr>
                <w:lang w:val="en-NZ"/>
              </w:rPr>
            </w:pPr>
            <w:r w:rsidRPr="004C50AB">
              <w:t>self-management skills to monitor own response to dealing with de</w:t>
            </w:r>
            <w:r w:rsidRPr="004C50AB">
              <w:t>ceased bodies and take corrective action.</w:t>
            </w:r>
          </w:p>
        </w:tc>
      </w:tr>
      <w:tr w:rsidTr="00875D1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C50AB" w:rsidP="004C50AB">
            <w:pPr>
              <w:pStyle w:val="BodyText"/>
            </w:pPr>
            <w:r w:rsidRPr="004C50AB">
              <w:rPr>
                <w:rStyle w:val="SpecialBold"/>
              </w:rPr>
              <w:t>Required knowledge</w:t>
            </w:r>
          </w:p>
          <w:p w:rsidR="00000000" w:rsidRPr="004C50AB" w:rsidP="004C50AB">
            <w:pPr>
              <w:pStyle w:val="ListBullet"/>
            </w:pPr>
            <w:r w:rsidRPr="004C50AB">
              <w:t>infection control practices and procedures</w:t>
            </w:r>
          </w:p>
          <w:p w:rsidR="00000000" w:rsidRPr="004C50AB" w:rsidP="004C50AB">
            <w:pPr>
              <w:pStyle w:val="ListBullet"/>
            </w:pPr>
            <w:r w:rsidRPr="004C50AB">
              <w:t xml:space="preserve">relevant workplace policies and procedures </w:t>
            </w:r>
          </w:p>
          <w:p w:rsidR="00000000" w:rsidRPr="004C50AB" w:rsidP="004C50AB">
            <w:pPr>
              <w:pStyle w:val="ListBullet"/>
            </w:pPr>
            <w:r w:rsidRPr="004C50AB">
              <w:t>anatomy, physiology and post-mortem changes</w:t>
            </w:r>
          </w:p>
          <w:p w:rsidR="00000000" w:rsidRPr="004C50AB" w:rsidP="004C50AB">
            <w:pPr>
              <w:pStyle w:val="ListBullet"/>
            </w:pPr>
            <w:r w:rsidRPr="004C50AB">
              <w:t>effects of embalming on various causes of death, medical treatments and procedures</w:t>
            </w:r>
          </w:p>
          <w:p w:rsidR="00000000" w:rsidRPr="004C50AB" w:rsidP="004C50AB">
            <w:pPr>
              <w:pStyle w:val="ListBullet"/>
            </w:pPr>
            <w:r w:rsidRPr="004C50AB">
              <w:t>body examination techniques</w:t>
            </w:r>
          </w:p>
          <w:p w:rsidR="00000000" w:rsidRPr="004C50AB" w:rsidP="004C50AB">
            <w:pPr>
              <w:pStyle w:val="ListBullet"/>
            </w:pPr>
            <w:r w:rsidRPr="004C50AB">
              <w:t>mortuary equipment, instruments and materials</w:t>
            </w:r>
          </w:p>
          <w:p w:rsidR="00000000" w:rsidRPr="004C50AB" w:rsidP="004C50AB">
            <w:pPr>
              <w:pStyle w:val="ListBullet"/>
            </w:pPr>
            <w:r w:rsidRPr="004C50AB">
              <w:t>social, cultural and religious requirements</w:t>
            </w:r>
          </w:p>
          <w:p w:rsidR="00000000" w:rsidRPr="004C50AB" w:rsidP="004C50AB">
            <w:pPr>
              <w:pStyle w:val="ListBullet"/>
            </w:pPr>
            <w:r w:rsidRPr="004C50AB">
              <w:t xml:space="preserve">funeral services industry parameters and protocols for </w:t>
            </w:r>
            <w:r w:rsidRPr="004C50AB">
              <w:t>dealing with the deceased</w:t>
            </w:r>
          </w:p>
          <w:p w:rsidR="00000000" w:rsidRPr="004C50AB" w:rsidP="004C50AB">
            <w:pPr>
              <w:pStyle w:val="ListBullet"/>
            </w:pPr>
            <w:r w:rsidRPr="004C50AB">
              <w:t>broad working knowledge of relevant federal, state or territory, and local government legislation and regulations relating to OHS, infection control and handling human remains.</w:t>
            </w:r>
          </w:p>
        </w:tc>
      </w:tr>
    </w:tbl>
    <w:p w:rsidR="00875D12" w:rsidP="004C50AB">
      <w:pPr>
        <w:pStyle w:val="BodyText"/>
      </w:pPr>
    </w:p>
    <w:p w:rsidR="00875D12" w:rsidP="004C50AB">
      <w:pPr>
        <w:pStyle w:val="BodyText"/>
      </w:pPr>
    </w:p>
    <w:p w:rsidR="00000000" w:rsidRPr="004C50AB" w:rsidP="004C50AB">
      <w:pPr>
        <w:pStyle w:val="Heading1"/>
      </w:pPr>
      <w:bookmarkStart w:id="10" w:name="O_137088"/>
      <w:bookmarkEnd w:id="10"/>
      <w:r w:rsidRPr="004C50AB">
        <w:t>Evidence Guide</w:t>
      </w:r>
    </w:p>
    <w:tbl>
      <w:tblPr>
        <w:tblW w:w="0" w:type="auto"/>
        <w:tblLayout w:type="fixed"/>
        <w:tblCellMar>
          <w:left w:w="62" w:type="dxa"/>
          <w:right w:w="62" w:type="dxa"/>
        </w:tblCellMar>
        <w:tblLook w:val="0000"/>
      </w:tblPr>
      <w:tblGrid>
        <w:gridCol w:w="3345"/>
        <w:gridCol w:w="5835"/>
      </w:tblGrid>
      <w:tr w:rsidTr="00875D1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EVIDENCE GUIDE</w:t>
            </w:r>
          </w:p>
        </w:tc>
      </w:tr>
      <w:tr w:rsidTr="00875D1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t>The evidence guide provides advice on assessment and must be read in conjunction with the performance criteria, required skills and knowledge, range statement and the Assessment Guidelines for the Training Package.</w:t>
            </w:r>
          </w:p>
        </w:tc>
      </w:tr>
      <w:tr w:rsidTr="00875D1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 xml:space="preserve">Critical aspects for assessment </w:t>
            </w:r>
            <w:r w:rsidRPr="004C50AB">
              <w:rPr>
                <w:rStyle w:val="SpecialBold"/>
              </w:rPr>
              <w:t xml:space="preserve">and </w:t>
            </w:r>
            <w:r w:rsidRPr="004C50AB">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BodyText"/>
            </w:pPr>
            <w:r w:rsidRPr="004C50AB">
              <w:t>Evidence of the following is essential:</w:t>
            </w:r>
          </w:p>
          <w:p w:rsidR="00000000" w:rsidRPr="004C50AB" w:rsidP="004C50AB">
            <w:pPr>
              <w:pStyle w:val="ListBullet"/>
            </w:pPr>
            <w:r w:rsidRPr="004C50AB">
              <w:t xml:space="preserve">ability to analyse the embalming requirements by examination to evaluate the treatments </w:t>
            </w:r>
            <w:r w:rsidRPr="004C50AB">
              <w:t>and effects  for specified body conditions and problems and calculate fluid dilutions for specific conditions using appropriate formulas</w:t>
            </w:r>
          </w:p>
          <w:p w:rsidR="00000000" w:rsidRPr="004C50AB" w:rsidP="004C50AB">
            <w:pPr>
              <w:pStyle w:val="ListBullet"/>
            </w:pPr>
            <w:r w:rsidRPr="004C50AB">
              <w:t>ability to determine the appropriate embalming techniques and communicate these to mortuary staff advising of potential</w:t>
            </w:r>
            <w:r w:rsidRPr="004C50AB">
              <w:t xml:space="preserve"> emotional issues</w:t>
            </w:r>
          </w:p>
          <w:p w:rsidR="00000000" w:rsidRPr="004C50AB" w:rsidP="004C50AB">
            <w:pPr>
              <w:pStyle w:val="ListBullet"/>
            </w:pPr>
            <w:r w:rsidRPr="004C50AB">
              <w:t>knowledge of infection control practices and a full range of embalming procedures</w:t>
            </w:r>
          </w:p>
          <w:p w:rsidR="00000000" w:rsidP="004C50AB">
            <w:pPr>
              <w:pStyle w:val="ListBullet"/>
              <w:rPr>
                <w:lang w:val="en-NZ"/>
              </w:rPr>
            </w:pPr>
            <w:r w:rsidRPr="004C50AB">
              <w:t>determining embalming requirements on multiple occasions to ensure consistency of performance and ability to respond to and evaluate different situations.</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BodyText"/>
            </w:pPr>
            <w:r w:rsidRPr="004C50AB">
              <w:t>Assessment must ensure:</w:t>
            </w:r>
          </w:p>
          <w:p w:rsidR="00000000" w:rsidRPr="004C50AB" w:rsidP="004C50AB">
            <w:pPr>
              <w:pStyle w:val="ListBullet"/>
            </w:pPr>
            <w:r w:rsidRPr="004C50AB">
              <w:t>demonstration of skills in a facility, most commonly a mortuary, where deceased bodies may be safely stored and examined</w:t>
            </w:r>
          </w:p>
          <w:p w:rsidR="00000000" w:rsidRPr="004C50AB" w:rsidP="004C50AB">
            <w:pPr>
              <w:pStyle w:val="ListBullet"/>
            </w:pPr>
            <w:r w:rsidRPr="004C50AB">
              <w:t>access to deceased bodies that require embalming</w:t>
            </w:r>
          </w:p>
          <w:p w:rsidR="00000000" w:rsidRPr="004C50AB" w:rsidP="004C50AB">
            <w:pPr>
              <w:pStyle w:val="ListBullet"/>
            </w:pPr>
            <w:r w:rsidRPr="004C50AB">
              <w:t>access to</w:t>
            </w:r>
            <w:r w:rsidRPr="004C50AB">
              <w:t xml:space="preserve"> mortuary instruments and equipment</w:t>
            </w:r>
          </w:p>
          <w:p w:rsidR="00000000" w:rsidP="004C50AB">
            <w:pPr>
              <w:pStyle w:val="ListBullet"/>
              <w:rPr>
                <w:lang w:val="en-NZ"/>
              </w:rPr>
            </w:pPr>
            <w:r w:rsidRPr="004C50AB">
              <w:t>access to personal protective equipment.</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BodyText"/>
            </w:pPr>
            <w:r w:rsidRPr="004C50AB">
              <w:t xml:space="preserve">A range of assessment methods should be used to assess practical skills and knowledge. The following examples are appropriate for this unit: </w:t>
            </w:r>
          </w:p>
          <w:p w:rsidR="00000000" w:rsidRPr="004C50AB" w:rsidP="004C50AB">
            <w:pPr>
              <w:pStyle w:val="ListBullet"/>
            </w:pPr>
            <w:r w:rsidRPr="004C50AB">
              <w:t>observation of candidate inspecting deceased bodies and identifying appropriate embalming techniques for a range of body conditions</w:t>
            </w:r>
          </w:p>
          <w:p w:rsidR="00000000" w:rsidRPr="004C50AB" w:rsidP="004C50AB">
            <w:pPr>
              <w:pStyle w:val="ListBullet"/>
            </w:pPr>
            <w:r w:rsidRPr="004C50AB">
              <w:t>written or verbal questioning to assess knowledge and understanding of all OHS and infection control practices and procedure</w:t>
            </w:r>
            <w:r w:rsidRPr="004C50AB">
              <w:t>s</w:t>
            </w:r>
          </w:p>
          <w:p w:rsidR="00000000" w:rsidP="004C50AB">
            <w:pPr>
              <w:pStyle w:val="ListBullet"/>
              <w:rPr>
                <w:lang w:val="en-NZ"/>
              </w:rPr>
            </w:pPr>
            <w:r w:rsidRPr="004C50AB">
              <w:t>review of portfolios of evidence and third-party workplace reports of on-the-job performance by the candidate.</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BodyText"/>
            </w:pPr>
            <w:r w:rsidRPr="004C50AB">
              <w:t>Holistic assessment with other units relevant to the industry sector, workplace and job role is recommended, for example:</w:t>
            </w:r>
          </w:p>
          <w:p w:rsidR="00000000" w:rsidRPr="004C50AB" w:rsidP="004C50AB">
            <w:pPr>
              <w:pStyle w:val="ListBullet"/>
            </w:pPr>
            <w:r w:rsidRPr="004C50AB">
              <w:t>SIFMWK014A Treat t</w:t>
            </w:r>
            <w:r w:rsidRPr="004C50AB">
              <w:t>he arterial system</w:t>
            </w:r>
          </w:p>
          <w:p w:rsidR="00000000" w:rsidP="004C50AB">
            <w:pPr>
              <w:pStyle w:val="ListBullet"/>
              <w:rPr>
                <w:lang w:val="en-NZ"/>
              </w:rPr>
            </w:pPr>
            <w:r w:rsidRPr="004C50AB">
              <w:t>SIFMWK015A Treat abdominal and thoracic cavities.</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BodyText"/>
            </w:pPr>
            <w:r w:rsidRPr="004C50AB">
              <w:t>Employability skills embedded in this unit should be assessed holistically with other relevant units that make up the skill set or qualification and in the context of the job role.</w:t>
            </w:r>
          </w:p>
        </w:tc>
      </w:tr>
    </w:tbl>
    <w:p w:rsidR="00875D12" w:rsidP="004C50AB">
      <w:pPr>
        <w:pStyle w:val="BodyText"/>
      </w:pPr>
    </w:p>
    <w:p w:rsidR="00875D12" w:rsidP="004C50AB">
      <w:pPr>
        <w:pStyle w:val="BodyText"/>
      </w:pPr>
    </w:p>
    <w:p w:rsidR="00000000" w:rsidRPr="004C50AB" w:rsidP="004C50AB">
      <w:pPr>
        <w:pStyle w:val="Heading1"/>
      </w:pPr>
      <w:bookmarkStart w:id="11" w:name="O_137089"/>
      <w:bookmarkEnd w:id="11"/>
      <w:r w:rsidRPr="004C50AB">
        <w:t>Range Statement</w:t>
      </w:r>
    </w:p>
    <w:tbl>
      <w:tblPr>
        <w:tblW w:w="0" w:type="auto"/>
        <w:tblLayout w:type="fixed"/>
        <w:tblCellMar>
          <w:left w:w="62" w:type="dxa"/>
          <w:right w:w="62" w:type="dxa"/>
        </w:tblCellMar>
        <w:tblLook w:val="0000"/>
      </w:tblPr>
      <w:tblGrid>
        <w:gridCol w:w="3345"/>
        <w:gridCol w:w="5835"/>
      </w:tblGrid>
      <w:tr w:rsidTr="00875D1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RANGE STATEMENT</w:t>
            </w:r>
          </w:p>
        </w:tc>
      </w:tr>
      <w:tr w:rsidTr="00875D1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t xml:space="preserve">The range statement relates to the unit of competency as a whole. It allows for different work environments and situations that may affect </w:t>
            </w:r>
            <w:r w:rsidRPr="004C50AB">
              <w:t>performance. Bold italicised wording, if used in the performance criteria, is detailed below. Essential operating conditions that may be present with training and assessment (depending on the work situation, needs of the candidate, accessibility of the ite</w:t>
            </w:r>
            <w:r w:rsidRPr="004C50AB">
              <w:t>m, and local industry and regional contexts) may also be included.</w:t>
            </w:r>
          </w:p>
        </w:tc>
      </w:tr>
      <w:tr w:rsidTr="00875D1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BoldandItalics"/>
              </w:rPr>
              <w:t>Mortuary instruments and equipment</w:t>
            </w:r>
            <w:r w:rsidRPr="004C50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ListBullet"/>
            </w:pPr>
            <w:r w:rsidRPr="004C50AB">
              <w:t>injection instruments, including:</w:t>
            </w:r>
          </w:p>
          <w:p w:rsidR="00000000" w:rsidRPr="004C50AB" w:rsidP="004C50AB">
            <w:pPr>
              <w:pStyle w:val="ListBullet2"/>
            </w:pPr>
            <w:r w:rsidRPr="004C50AB">
              <w:t>gravity and bulb syringe</w:t>
            </w:r>
          </w:p>
          <w:p w:rsidR="00000000" w:rsidRPr="004C50AB" w:rsidP="004C50AB">
            <w:pPr>
              <w:pStyle w:val="ListBullet2"/>
            </w:pPr>
            <w:r w:rsidRPr="004C50AB">
              <w:t>arterial tube</w:t>
            </w:r>
          </w:p>
          <w:p w:rsidR="00000000" w:rsidRPr="004C50AB" w:rsidP="004C50AB">
            <w:pPr>
              <w:pStyle w:val="ListBullet2"/>
            </w:pPr>
            <w:r w:rsidRPr="004C50AB">
              <w:t>hand pump</w:t>
            </w:r>
          </w:p>
          <w:p w:rsidR="00000000" w:rsidRPr="004C50AB" w:rsidP="004C50AB">
            <w:pPr>
              <w:pStyle w:val="ListBullet2"/>
            </w:pPr>
            <w:r w:rsidRPr="004C50AB">
              <w:t>parietal needle</w:t>
            </w:r>
          </w:p>
          <w:p w:rsidR="00000000" w:rsidRPr="004C50AB" w:rsidP="004C50AB">
            <w:pPr>
              <w:pStyle w:val="ListBullet2"/>
            </w:pPr>
            <w:r w:rsidRPr="004C50AB">
              <w:t>centrifugal pump</w:t>
            </w:r>
          </w:p>
          <w:p w:rsidR="00000000" w:rsidRPr="004C50AB" w:rsidP="004C50AB">
            <w:pPr>
              <w:pStyle w:val="ListBullet2"/>
            </w:pPr>
            <w:r w:rsidRPr="004C50AB">
              <w:t>stopcock</w:t>
            </w:r>
          </w:p>
          <w:p w:rsidR="00000000" w:rsidRPr="004C50AB" w:rsidP="004C50AB">
            <w:pPr>
              <w:pStyle w:val="ListBullet2"/>
            </w:pPr>
            <w:r w:rsidRPr="004C50AB">
              <w:t>Y tube</w:t>
            </w:r>
          </w:p>
          <w:p w:rsidR="00000000" w:rsidRPr="004C50AB" w:rsidP="004C50AB">
            <w:pPr>
              <w:pStyle w:val="ListBullet2"/>
            </w:pPr>
            <w:r w:rsidRPr="004C50AB">
              <w:t>embalming machine</w:t>
            </w:r>
          </w:p>
          <w:p w:rsidR="00000000" w:rsidRPr="004C50AB" w:rsidP="004C50AB">
            <w:pPr>
              <w:pStyle w:val="ListBullet"/>
            </w:pPr>
            <w:r w:rsidRPr="004C50AB">
              <w:t>drainage instruments, including:</w:t>
            </w:r>
          </w:p>
          <w:p w:rsidR="00000000" w:rsidRPr="004C50AB" w:rsidP="004C50AB">
            <w:pPr>
              <w:pStyle w:val="ListBullet2"/>
            </w:pPr>
            <w:r w:rsidRPr="004C50AB">
              <w:t>drain tube</w:t>
            </w:r>
          </w:p>
          <w:p w:rsidR="00000000" w:rsidRPr="004C50AB" w:rsidP="004C50AB">
            <w:pPr>
              <w:pStyle w:val="ListBullet2"/>
            </w:pPr>
            <w:r w:rsidRPr="004C50AB">
              <w:t>iliac drain tube</w:t>
            </w:r>
          </w:p>
          <w:p w:rsidR="00000000" w:rsidRPr="004C50AB" w:rsidP="004C50AB">
            <w:pPr>
              <w:pStyle w:val="ListBullet2"/>
            </w:pPr>
            <w:r w:rsidRPr="004C50AB">
              <w:t>grooved director</w:t>
            </w:r>
          </w:p>
          <w:p w:rsidR="00000000" w:rsidRPr="004C50AB" w:rsidP="004C50AB">
            <w:pPr>
              <w:pStyle w:val="ListBullet2"/>
            </w:pPr>
            <w:r w:rsidRPr="004C50AB">
              <w:t>angular spring forceps</w:t>
            </w:r>
          </w:p>
          <w:p w:rsidR="00000000" w:rsidRPr="004C50AB" w:rsidP="004C50AB">
            <w:pPr>
              <w:pStyle w:val="ListBullet"/>
            </w:pPr>
            <w:r w:rsidRPr="004C50AB">
              <w:t>electric or motorised aspirating instruments, including:</w:t>
            </w:r>
          </w:p>
          <w:p w:rsidR="00000000" w:rsidRPr="004C50AB" w:rsidP="004C50AB">
            <w:pPr>
              <w:pStyle w:val="ListBullet2"/>
            </w:pPr>
            <w:r w:rsidRPr="004C50AB">
              <w:t>autopsy aspirator</w:t>
            </w:r>
          </w:p>
          <w:p w:rsidR="00000000" w:rsidRPr="004C50AB" w:rsidP="004C50AB">
            <w:pPr>
              <w:pStyle w:val="ListBullet2"/>
            </w:pPr>
            <w:r w:rsidRPr="004C50AB">
              <w:t>hydroaspirator</w:t>
            </w:r>
          </w:p>
          <w:p w:rsidR="00000000" w:rsidRPr="004C50AB" w:rsidP="004C50AB">
            <w:pPr>
              <w:pStyle w:val="ListBullet2"/>
            </w:pPr>
            <w:r w:rsidRPr="004C50AB">
              <w:t>nasal tube aspirator</w:t>
            </w:r>
          </w:p>
          <w:p w:rsidR="00000000" w:rsidRPr="004C50AB" w:rsidP="004C50AB">
            <w:pPr>
              <w:pStyle w:val="ListBullet2"/>
            </w:pPr>
            <w:r w:rsidRPr="004C50AB">
              <w:t>trocar</w:t>
            </w:r>
          </w:p>
          <w:p w:rsidR="00000000" w:rsidRPr="004C50AB" w:rsidP="004C50AB">
            <w:pPr>
              <w:pStyle w:val="ListBullet2"/>
            </w:pPr>
            <w:r w:rsidRPr="004C50AB">
              <w:t>hydrovalve trocar</w:t>
            </w:r>
          </w:p>
          <w:p w:rsidR="00000000" w:rsidRPr="004C50AB" w:rsidP="004C50AB">
            <w:pPr>
              <w:pStyle w:val="ListBullet"/>
            </w:pPr>
            <w:r w:rsidRPr="004C50AB">
              <w:t>personal protective equipment</w:t>
            </w:r>
          </w:p>
          <w:p w:rsidR="00000000" w:rsidRPr="004C50AB" w:rsidP="004C50AB">
            <w:pPr>
              <w:pStyle w:val="ListBullet"/>
            </w:pPr>
            <w:r w:rsidRPr="004C50AB">
              <w:t>positioning devices</w:t>
            </w:r>
          </w:p>
          <w:p w:rsidR="00000000" w:rsidRPr="004C50AB" w:rsidP="004C50AB">
            <w:pPr>
              <w:pStyle w:val="ListBullet"/>
            </w:pPr>
            <w:r w:rsidRPr="004C50AB">
              <w:t xml:space="preserve">sterilisation equipment </w:t>
            </w:r>
          </w:p>
          <w:p w:rsidR="00000000" w:rsidRPr="004C50AB" w:rsidP="004C50AB">
            <w:pPr>
              <w:pStyle w:val="ListBullet"/>
            </w:pPr>
            <w:r w:rsidRPr="004C50AB">
              <w:t>sterilisation chemicals and solutions</w:t>
            </w:r>
          </w:p>
          <w:p w:rsidR="00000000" w:rsidRPr="004C50AB" w:rsidP="004C50AB">
            <w:pPr>
              <w:pStyle w:val="ListBullet"/>
            </w:pPr>
            <w:r w:rsidRPr="004C50AB">
              <w:t>portiboy</w:t>
            </w:r>
          </w:p>
          <w:p w:rsidR="00000000" w:rsidRPr="004C50AB" w:rsidP="004C50AB">
            <w:pPr>
              <w:pStyle w:val="ListBullet"/>
            </w:pPr>
            <w:r w:rsidRPr="004C50AB">
              <w:t>instruments and instrument tray</w:t>
            </w:r>
          </w:p>
          <w:p w:rsidR="00000000" w:rsidRPr="004C50AB" w:rsidP="004C50AB">
            <w:pPr>
              <w:pStyle w:val="ListBullet"/>
            </w:pPr>
            <w:r w:rsidRPr="004C50AB">
              <w:t>dressing table</w:t>
            </w:r>
          </w:p>
          <w:p w:rsidR="00000000" w:rsidRPr="004C50AB" w:rsidP="004C50AB">
            <w:pPr>
              <w:pStyle w:val="ListBullet"/>
            </w:pPr>
            <w:r w:rsidRPr="004C50AB">
              <w:t>disinfectant hand solution, paper towels and soap</w:t>
            </w:r>
          </w:p>
          <w:p w:rsidR="00000000" w:rsidRPr="004C50AB" w:rsidP="004C50AB">
            <w:pPr>
              <w:pStyle w:val="ListBullet"/>
            </w:pPr>
            <w:r w:rsidRPr="004C50AB">
              <w:t>pedestal lamps</w:t>
            </w:r>
          </w:p>
          <w:p w:rsidR="00000000" w:rsidRPr="004C50AB" w:rsidP="004C50AB">
            <w:pPr>
              <w:pStyle w:val="ListBullet"/>
            </w:pPr>
            <w:r w:rsidRPr="004C50AB">
              <w:t>first aid kit</w:t>
            </w:r>
          </w:p>
          <w:p w:rsidR="00000000" w:rsidRPr="004C50AB" w:rsidP="004C50AB">
            <w:pPr>
              <w:pStyle w:val="ListBullet"/>
            </w:pPr>
            <w:r w:rsidRPr="004C50AB">
              <w:t>aneurysm needle</w:t>
            </w:r>
          </w:p>
          <w:p w:rsidR="00000000" w:rsidRPr="004C50AB" w:rsidP="004C50AB">
            <w:pPr>
              <w:pStyle w:val="ListBullet"/>
            </w:pPr>
            <w:r w:rsidRPr="004C50AB">
              <w:t>bistoury knife</w:t>
            </w:r>
          </w:p>
          <w:p w:rsidR="00000000" w:rsidRPr="004C50AB" w:rsidP="004C50AB">
            <w:pPr>
              <w:pStyle w:val="ListBullet"/>
            </w:pPr>
            <w:r w:rsidRPr="004C50AB">
              <w:t>scalpels</w:t>
            </w:r>
          </w:p>
          <w:p w:rsidR="00000000" w:rsidRPr="004C50AB" w:rsidP="004C50AB">
            <w:pPr>
              <w:pStyle w:val="ListBullet"/>
            </w:pPr>
            <w:r w:rsidRPr="004C50AB">
              <w:t>scissors</w:t>
            </w:r>
          </w:p>
          <w:p w:rsidR="00000000" w:rsidRPr="004C50AB" w:rsidP="004C50AB">
            <w:pPr>
              <w:pStyle w:val="ListBullet"/>
            </w:pPr>
            <w:r w:rsidRPr="004C50AB">
              <w:t>separators</w:t>
            </w:r>
          </w:p>
          <w:p w:rsidR="00000000" w:rsidRPr="004C50AB" w:rsidP="004C50AB">
            <w:pPr>
              <w:pStyle w:val="ListBullet"/>
            </w:pPr>
            <w:r w:rsidRPr="004C50AB">
              <w:t>suture needles</w:t>
            </w:r>
          </w:p>
          <w:p w:rsidR="00000000" w:rsidRPr="004C50AB" w:rsidP="004C50AB">
            <w:pPr>
              <w:pStyle w:val="ListBullet"/>
            </w:pPr>
            <w:r w:rsidRPr="004C50AB">
              <w:t>needle holder</w:t>
            </w:r>
          </w:p>
          <w:p w:rsidR="00000000" w:rsidRPr="004C50AB" w:rsidP="004C50AB">
            <w:pPr>
              <w:pStyle w:val="ListBullet"/>
            </w:pPr>
            <w:r w:rsidRPr="004C50AB">
              <w:t>forceps</w:t>
            </w:r>
          </w:p>
          <w:p w:rsidR="00000000" w:rsidRPr="004C50AB" w:rsidP="004C50AB">
            <w:pPr>
              <w:pStyle w:val="ListBullet"/>
            </w:pPr>
            <w:r w:rsidRPr="004C50AB">
              <w:t>cavity fluid injectors</w:t>
            </w:r>
          </w:p>
          <w:p w:rsidR="00000000" w:rsidP="004C50AB">
            <w:pPr>
              <w:pStyle w:val="ListBullet"/>
              <w:rPr>
                <w:lang w:val="en-NZ"/>
              </w:rPr>
            </w:pPr>
            <w:r w:rsidRPr="004C50AB">
              <w:t>trocar buttons and applicator.</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BoldandItalics"/>
              </w:rPr>
              <w:t>Workplace policies and procedures</w:t>
            </w:r>
            <w:r w:rsidRPr="004C50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ListBullet"/>
            </w:pPr>
            <w:r w:rsidRPr="004C50AB">
              <w:t>standard operating policies and procedures</w:t>
            </w:r>
          </w:p>
          <w:p w:rsidR="00000000" w:rsidRPr="004C50AB" w:rsidP="004C50AB">
            <w:pPr>
              <w:pStyle w:val="ListBullet"/>
            </w:pPr>
            <w:r w:rsidRPr="004C50AB">
              <w:t>standards and certification requirements</w:t>
            </w:r>
          </w:p>
          <w:p w:rsidR="00000000" w:rsidRPr="004C50AB" w:rsidP="004C50AB">
            <w:pPr>
              <w:pStyle w:val="ListBullet"/>
            </w:pPr>
            <w:r w:rsidRPr="004C50AB">
              <w:t>communication protocols</w:t>
            </w:r>
          </w:p>
          <w:p w:rsidR="00000000" w:rsidRPr="004C50AB" w:rsidP="004C50AB">
            <w:pPr>
              <w:pStyle w:val="ListBullet"/>
            </w:pPr>
            <w:r w:rsidRPr="004C50AB">
              <w:t>quality assurance procedures</w:t>
            </w:r>
          </w:p>
          <w:p w:rsidR="00000000" w:rsidRPr="004C50AB" w:rsidP="004C50AB">
            <w:pPr>
              <w:pStyle w:val="ListBullet"/>
            </w:pPr>
            <w:r w:rsidRPr="004C50AB">
              <w:t>OHS procedures, such as:</w:t>
            </w:r>
          </w:p>
          <w:p w:rsidR="00000000" w:rsidRPr="004C50AB" w:rsidP="004C50AB">
            <w:pPr>
              <w:pStyle w:val="ListBullet2"/>
            </w:pPr>
            <w:r w:rsidRPr="004C50AB">
              <w:t>infection control procedures</w:t>
            </w:r>
          </w:p>
          <w:p w:rsidR="00000000" w:rsidRPr="004C50AB" w:rsidP="004C50AB">
            <w:pPr>
              <w:pStyle w:val="ListBullet2"/>
            </w:pPr>
            <w:r w:rsidRPr="004C50AB">
              <w:t>manual handling procedures</w:t>
            </w:r>
          </w:p>
          <w:p w:rsidR="00000000" w:rsidRPr="004C50AB" w:rsidP="004C50AB">
            <w:pPr>
              <w:pStyle w:val="ListBullet2"/>
            </w:pPr>
            <w:r w:rsidRPr="004C50AB">
              <w:t>material handling procedures, including hazardous or infectious materials</w:t>
            </w:r>
          </w:p>
          <w:p w:rsidR="00000000" w:rsidRPr="004C50AB" w:rsidP="004C50AB">
            <w:pPr>
              <w:pStyle w:val="ListBullet"/>
            </w:pPr>
            <w:r w:rsidRPr="004C50AB">
              <w:t>emergency procedures, including fire and accident procedures</w:t>
            </w:r>
          </w:p>
          <w:p w:rsidR="00000000" w:rsidP="004C50AB">
            <w:pPr>
              <w:pStyle w:val="ListBullet"/>
              <w:rPr>
                <w:lang w:val="en-NZ"/>
              </w:rPr>
            </w:pPr>
            <w:r w:rsidRPr="004C50AB">
              <w:t>security procedures.</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BoldandItalics"/>
              </w:rPr>
              <w:t>Relevant legislation</w:t>
            </w:r>
            <w:r w:rsidRPr="004C50AB">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ListBullet"/>
            </w:pPr>
            <w:r w:rsidRPr="004C50AB">
              <w:t xml:space="preserve">OHS </w:t>
            </w:r>
          </w:p>
          <w:p w:rsidR="00000000" w:rsidRPr="004C50AB" w:rsidP="004C50AB">
            <w:pPr>
              <w:pStyle w:val="ListBullet"/>
            </w:pPr>
            <w:r w:rsidRPr="004C50AB">
              <w:t>Anatomy Act</w:t>
            </w:r>
          </w:p>
          <w:p w:rsidR="00000000" w:rsidRPr="004C50AB" w:rsidP="004C50AB">
            <w:pPr>
              <w:pStyle w:val="ListBullet"/>
            </w:pPr>
            <w:r w:rsidRPr="004C50AB">
              <w:t>Human Tissue Act</w:t>
            </w:r>
          </w:p>
          <w:p w:rsidR="00000000" w:rsidRPr="004C50AB" w:rsidP="004C50AB">
            <w:pPr>
              <w:pStyle w:val="ListBullet"/>
            </w:pPr>
            <w:r w:rsidRPr="004C50AB">
              <w:t>Skin Penetration Act</w:t>
            </w:r>
          </w:p>
          <w:p w:rsidR="00000000" w:rsidRPr="004C50AB" w:rsidP="004C50AB">
            <w:pPr>
              <w:pStyle w:val="ListBullet"/>
            </w:pPr>
            <w:r w:rsidRPr="004C50AB">
              <w:t>Coroner's Act</w:t>
            </w:r>
          </w:p>
          <w:p w:rsidR="00000000" w:rsidRPr="004C50AB" w:rsidP="004C50AB">
            <w:pPr>
              <w:pStyle w:val="ListBullet"/>
            </w:pPr>
            <w:r w:rsidRPr="004C50AB">
              <w:t>Public Health Act</w:t>
            </w:r>
          </w:p>
          <w:p w:rsidR="00000000" w:rsidRPr="004C50AB" w:rsidP="004C50AB">
            <w:pPr>
              <w:pStyle w:val="ListBullet"/>
            </w:pPr>
            <w:r w:rsidRPr="004C50AB">
              <w:t>Environment Protection Act</w:t>
            </w:r>
          </w:p>
          <w:p w:rsidR="00000000" w:rsidRPr="004C50AB" w:rsidP="004C50AB">
            <w:pPr>
              <w:pStyle w:val="ListBullet"/>
            </w:pPr>
            <w:r w:rsidRPr="004C50AB">
              <w:t>local government regulations</w:t>
            </w:r>
          </w:p>
          <w:p w:rsidR="00000000" w:rsidRPr="004C50AB" w:rsidP="004C50AB">
            <w:pPr>
              <w:pStyle w:val="ListBullet"/>
            </w:pPr>
            <w:r w:rsidRPr="004C50AB">
              <w:t>funeral services industry code of practice</w:t>
            </w:r>
          </w:p>
          <w:p w:rsidR="00000000" w:rsidP="004C50AB">
            <w:pPr>
              <w:pStyle w:val="ListBullet"/>
              <w:rPr>
                <w:lang w:val="en-NZ"/>
              </w:rPr>
            </w:pPr>
            <w:r w:rsidRPr="004C50AB">
              <w:t>Worksafe Australia certification and standards.</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BoldandItalics"/>
              </w:rPr>
              <w:t>Infection control practices</w:t>
            </w:r>
            <w:r w:rsidRPr="004C50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ListBullet"/>
            </w:pPr>
            <w:r w:rsidRPr="004C50AB">
              <w:t>universal precautions, including:</w:t>
            </w:r>
          </w:p>
          <w:p w:rsidR="00000000" w:rsidRPr="004C50AB" w:rsidP="004C50AB">
            <w:pPr>
              <w:pStyle w:val="ListBullet2"/>
            </w:pPr>
            <w:r w:rsidRPr="004C50AB">
              <w:t>use of personal protective equipment</w:t>
            </w:r>
          </w:p>
          <w:p w:rsidR="00000000" w:rsidRPr="004C50AB" w:rsidP="004C50AB">
            <w:pPr>
              <w:pStyle w:val="ListBullet2"/>
            </w:pPr>
            <w:r w:rsidRPr="004C50AB">
              <w:t>presumption that all blood and body fluids are infectious</w:t>
            </w:r>
          </w:p>
          <w:p w:rsidR="00000000" w:rsidRPr="004C50AB" w:rsidP="004C50AB">
            <w:pPr>
              <w:pStyle w:val="ListBullet2"/>
            </w:pPr>
            <w:r w:rsidRPr="004C50AB">
              <w:t>covering exposed cuts and abrasions, particularly on workers' hands, with waterproof coverings prior to commencing work</w:t>
            </w:r>
          </w:p>
          <w:p w:rsidR="00000000" w:rsidRPr="004C50AB" w:rsidP="004C50AB">
            <w:pPr>
              <w:pStyle w:val="ListBullet2"/>
            </w:pPr>
            <w:r w:rsidRPr="004C50AB">
              <w:t>immediate treatment of puncture wounds or abrasions</w:t>
            </w:r>
          </w:p>
          <w:p w:rsidR="00000000" w:rsidRPr="004C50AB" w:rsidP="004C50AB">
            <w:pPr>
              <w:pStyle w:val="ListBullet2"/>
            </w:pPr>
            <w:r w:rsidRPr="004C50AB">
              <w:t>use of protective clothing when cleaning spillage of body fluids</w:t>
            </w:r>
          </w:p>
          <w:p w:rsidR="00000000" w:rsidRPr="004C50AB" w:rsidP="004C50AB">
            <w:pPr>
              <w:pStyle w:val="ListBullet"/>
            </w:pPr>
            <w:r w:rsidRPr="004C50AB">
              <w:t>checking for infec</w:t>
            </w:r>
            <w:r w:rsidRPr="004C50AB">
              <w:t>tious and transmittable disease</w:t>
            </w:r>
          </w:p>
          <w:p w:rsidR="00000000" w:rsidRPr="004C50AB" w:rsidP="004C50AB">
            <w:pPr>
              <w:pStyle w:val="ListBullet"/>
            </w:pPr>
            <w:r w:rsidRPr="004C50AB">
              <w:t>sterilising apparatus and instruments</w:t>
            </w:r>
          </w:p>
          <w:p w:rsidR="00000000" w:rsidRPr="004C50AB" w:rsidP="004C50AB">
            <w:pPr>
              <w:pStyle w:val="ListBullet"/>
            </w:pPr>
            <w:r w:rsidRPr="004C50AB">
              <w:t>providing sterile storage areas for instruments</w:t>
            </w:r>
          </w:p>
          <w:p w:rsidR="00000000" w:rsidRPr="004C50AB" w:rsidP="004C50AB">
            <w:pPr>
              <w:pStyle w:val="ListBullet"/>
            </w:pPr>
            <w:r w:rsidRPr="004C50AB">
              <w:t>using disinfectants</w:t>
            </w:r>
          </w:p>
          <w:p w:rsidR="00000000" w:rsidRPr="004C50AB" w:rsidP="004C50AB">
            <w:pPr>
              <w:pStyle w:val="ListBullet"/>
            </w:pPr>
            <w:r w:rsidRPr="004C50AB">
              <w:t>safe removal and disposal of soiled and contaminated garments</w:t>
            </w:r>
          </w:p>
          <w:p w:rsidR="00000000" w:rsidRPr="004C50AB" w:rsidP="004C50AB">
            <w:pPr>
              <w:pStyle w:val="ListBullet"/>
            </w:pPr>
            <w:r w:rsidRPr="004C50AB">
              <w:t>safe ventilation</w:t>
            </w:r>
          </w:p>
          <w:p w:rsidR="00000000" w:rsidRPr="004C50AB" w:rsidP="004C50AB">
            <w:pPr>
              <w:pStyle w:val="ListBullet"/>
            </w:pPr>
            <w:r w:rsidRPr="004C50AB">
              <w:t>avoiding invasive procedures on bodies</w:t>
            </w:r>
          </w:p>
          <w:p w:rsidR="00000000" w:rsidRPr="004C50AB" w:rsidP="004C50AB">
            <w:pPr>
              <w:pStyle w:val="ListBullet"/>
            </w:pPr>
            <w:r w:rsidRPr="004C50AB">
              <w:t>immunisation</w:t>
            </w:r>
          </w:p>
          <w:p w:rsidR="00000000" w:rsidRPr="004C50AB" w:rsidP="004C50AB">
            <w:pPr>
              <w:pStyle w:val="ListBullet"/>
            </w:pPr>
            <w:r w:rsidRPr="004C50AB">
              <w:t>periodic X-rays</w:t>
            </w:r>
          </w:p>
          <w:p w:rsidR="00000000" w:rsidRPr="004C50AB" w:rsidP="004C50AB">
            <w:pPr>
              <w:pStyle w:val="ListBullet"/>
            </w:pPr>
            <w:r w:rsidRPr="004C50AB">
              <w:t>seeking medical advice</w:t>
            </w:r>
          </w:p>
          <w:p w:rsidR="00000000" w:rsidRPr="004C50AB" w:rsidP="004C50AB">
            <w:pPr>
              <w:pStyle w:val="ListBullet"/>
            </w:pPr>
            <w:r w:rsidRPr="004C50AB">
              <w:t>recording injury and incidence</w:t>
            </w:r>
          </w:p>
          <w:p w:rsidR="00000000" w:rsidRPr="004C50AB" w:rsidP="004C50AB">
            <w:pPr>
              <w:pStyle w:val="ListBullet"/>
            </w:pPr>
            <w:r w:rsidRPr="004C50AB">
              <w:t>reporting injury and incidence</w:t>
            </w:r>
          </w:p>
          <w:p w:rsidR="00000000" w:rsidRPr="004C50AB" w:rsidP="004C50AB">
            <w:pPr>
              <w:pStyle w:val="ListBullet"/>
            </w:pPr>
            <w:r w:rsidRPr="004C50AB">
              <w:t>providing first aid kit</w:t>
            </w:r>
          </w:p>
          <w:p w:rsidR="00000000" w:rsidRPr="004C50AB" w:rsidP="004C50AB">
            <w:pPr>
              <w:pStyle w:val="ListBullet"/>
            </w:pPr>
            <w:r w:rsidRPr="004C50AB">
              <w:t>performing first aid as necessary</w:t>
            </w:r>
          </w:p>
          <w:p w:rsidR="00000000" w:rsidP="004C50AB">
            <w:pPr>
              <w:pStyle w:val="ListBullet"/>
              <w:rPr>
                <w:lang w:val="en-NZ"/>
              </w:rPr>
            </w:pPr>
            <w:r w:rsidRPr="004C50AB">
              <w:t>labelling clothing.</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BoldandItalics"/>
              </w:rPr>
              <w:t>Personal protective equipment</w:t>
            </w:r>
            <w:r w:rsidRPr="004C50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ListBullet"/>
            </w:pPr>
            <w:r w:rsidRPr="004C50AB">
              <w:t>disposable gloves</w:t>
            </w:r>
          </w:p>
          <w:p w:rsidR="00000000" w:rsidRPr="004C50AB" w:rsidP="004C50AB">
            <w:pPr>
              <w:pStyle w:val="ListBullet"/>
            </w:pPr>
            <w:r w:rsidRPr="004C50AB">
              <w:t>heavy duty gloves</w:t>
            </w:r>
          </w:p>
          <w:p w:rsidR="00000000" w:rsidRPr="004C50AB" w:rsidP="004C50AB">
            <w:pPr>
              <w:pStyle w:val="ListBullet"/>
            </w:pPr>
            <w:r w:rsidRPr="004C50AB">
              <w:t>barrier gown or suit</w:t>
            </w:r>
          </w:p>
          <w:p w:rsidR="00000000" w:rsidRPr="004C50AB" w:rsidP="004C50AB">
            <w:pPr>
              <w:pStyle w:val="ListBullet"/>
            </w:pPr>
            <w:r w:rsidRPr="004C50AB">
              <w:t>waterproof overshoes</w:t>
            </w:r>
          </w:p>
          <w:p w:rsidR="00000000" w:rsidRPr="004C50AB" w:rsidP="004C50AB">
            <w:pPr>
              <w:pStyle w:val="ListBullet"/>
            </w:pPr>
            <w:r w:rsidRPr="004C50AB">
              <w:t>waterproof aprons</w:t>
            </w:r>
          </w:p>
          <w:p w:rsidR="00000000" w:rsidRPr="004C50AB" w:rsidP="004C50AB">
            <w:pPr>
              <w:pStyle w:val="ListBullet"/>
            </w:pPr>
            <w:r w:rsidRPr="004C50AB">
              <w:t xml:space="preserve">splash proof masks </w:t>
            </w:r>
          </w:p>
          <w:p w:rsidR="00000000" w:rsidRPr="004C50AB" w:rsidP="004C50AB">
            <w:pPr>
              <w:pStyle w:val="ListBullet"/>
            </w:pPr>
            <w:r w:rsidRPr="004C50AB">
              <w:t>eye goggles</w:t>
            </w:r>
          </w:p>
          <w:p w:rsidR="00000000" w:rsidRPr="004C50AB" w:rsidP="004C50AB">
            <w:pPr>
              <w:pStyle w:val="ListBullet"/>
            </w:pPr>
            <w:r w:rsidRPr="004C50AB">
              <w:t>face visor</w:t>
            </w:r>
          </w:p>
          <w:p w:rsidR="00000000" w:rsidRPr="004C50AB" w:rsidP="004C50AB">
            <w:pPr>
              <w:pStyle w:val="ListBullet"/>
            </w:pPr>
            <w:r w:rsidRPr="004C50AB">
              <w:t>hair cover</w:t>
            </w:r>
          </w:p>
          <w:p w:rsidR="00000000" w:rsidRPr="004C50AB" w:rsidP="004C50AB">
            <w:pPr>
              <w:pStyle w:val="ListBullet"/>
            </w:pPr>
            <w:r w:rsidRPr="004C50AB">
              <w:t>filtered air supply:</w:t>
            </w:r>
          </w:p>
          <w:p w:rsidR="00000000" w:rsidRPr="004C50AB" w:rsidP="004C50AB">
            <w:pPr>
              <w:pStyle w:val="ListBullet2"/>
            </w:pPr>
            <w:r w:rsidRPr="004C50AB">
              <w:t>negative air pressure</w:t>
            </w:r>
          </w:p>
          <w:p w:rsidR="00000000" w:rsidP="004C50AB">
            <w:pPr>
              <w:pStyle w:val="ListBullet2"/>
              <w:rPr>
                <w:lang w:val="en-NZ"/>
              </w:rPr>
            </w:pPr>
            <w:r w:rsidRPr="004C50AB">
              <w:t>powered positive air supply.</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BoldandItalics"/>
              </w:rPr>
              <w:t>Non</w:t>
            </w:r>
            <w:r w:rsidRPr="004C50AB">
              <w:t>-</w:t>
            </w:r>
            <w:r w:rsidRPr="004C50AB">
              <w:rPr>
                <w:rStyle w:val="BoldandItalics"/>
              </w:rPr>
              <w:t>invasive observation techniques</w:t>
            </w:r>
            <w:r w:rsidRPr="004C50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ListBullet"/>
            </w:pPr>
            <w:r w:rsidRPr="004C50AB">
              <w:t>checking for no pulse</w:t>
            </w:r>
          </w:p>
          <w:p w:rsidR="00000000" w:rsidRPr="004C50AB" w:rsidP="004C50AB">
            <w:pPr>
              <w:pStyle w:val="ListBullet"/>
            </w:pPr>
            <w:r w:rsidRPr="004C50AB">
              <w:t>looking for fixed and dilated pupils</w:t>
            </w:r>
          </w:p>
          <w:p w:rsidR="00000000" w:rsidP="004C50AB">
            <w:pPr>
              <w:pStyle w:val="ListBullet"/>
              <w:rPr>
                <w:lang w:val="en-NZ"/>
              </w:rPr>
            </w:pPr>
            <w:r w:rsidRPr="004C50AB">
              <w:t>observing no apparent breathing.</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BoldandItalics"/>
              </w:rPr>
              <w:t>Social</w:t>
            </w:r>
            <w:r w:rsidRPr="004C50AB">
              <w:t xml:space="preserve">, </w:t>
            </w:r>
            <w:r w:rsidRPr="004C50AB">
              <w:rPr>
                <w:rStyle w:val="BoldandItalics"/>
              </w:rPr>
              <w:t>cultural and religious requirements</w:t>
            </w:r>
            <w:r w:rsidRPr="004C50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ListBullet"/>
            </w:pPr>
            <w:r w:rsidRPr="004C50AB">
              <w:t xml:space="preserve">dress standards </w:t>
            </w:r>
          </w:p>
          <w:p w:rsidR="00000000" w:rsidRPr="004C50AB" w:rsidP="004C50AB">
            <w:pPr>
              <w:pStyle w:val="ListBullet"/>
            </w:pPr>
            <w:r w:rsidRPr="004C50AB">
              <w:t>gender of embalming personnel</w:t>
            </w:r>
          </w:p>
          <w:p w:rsidR="00000000" w:rsidRPr="004C50AB" w:rsidP="004C50AB">
            <w:pPr>
              <w:pStyle w:val="ListBullet"/>
            </w:pPr>
            <w:r w:rsidRPr="004C50AB">
              <w:t>time requ</w:t>
            </w:r>
            <w:r w:rsidRPr="004C50AB">
              <w:t>ired between death and burial or cremation</w:t>
            </w:r>
          </w:p>
          <w:p w:rsidR="00000000" w:rsidRPr="004C50AB" w:rsidP="004C50AB">
            <w:pPr>
              <w:pStyle w:val="ListBullet"/>
            </w:pPr>
            <w:r w:rsidRPr="004C50AB">
              <w:t>orientation of the deceased person</w:t>
            </w:r>
          </w:p>
          <w:p w:rsidR="00000000" w:rsidP="004C50AB">
            <w:pPr>
              <w:pStyle w:val="ListBullet"/>
              <w:rPr>
                <w:lang w:val="en-NZ"/>
              </w:rPr>
            </w:pPr>
            <w:r w:rsidRPr="004C50AB">
              <w:t>restrictions on methods of embalming permissible.</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BoldandItalics"/>
              </w:rPr>
              <w:t>Body classification</w:t>
            </w:r>
            <w:r w:rsidRPr="004C50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ListBullet"/>
            </w:pPr>
            <w:r w:rsidRPr="004C50AB">
              <w:t>gender</w:t>
            </w:r>
          </w:p>
          <w:p w:rsidR="00000000" w:rsidRPr="004C50AB" w:rsidP="004C50AB">
            <w:pPr>
              <w:pStyle w:val="ListBullet"/>
            </w:pPr>
            <w:r w:rsidRPr="004C50AB">
              <w:t>age</w:t>
            </w:r>
          </w:p>
          <w:p w:rsidR="00000000" w:rsidRPr="004C50AB" w:rsidP="004C50AB">
            <w:pPr>
              <w:pStyle w:val="ListBullet"/>
            </w:pPr>
            <w:r w:rsidRPr="004C50AB">
              <w:t>weight</w:t>
            </w:r>
          </w:p>
          <w:p w:rsidR="00000000" w:rsidRPr="004C50AB" w:rsidP="004C50AB">
            <w:pPr>
              <w:pStyle w:val="ListBullet"/>
            </w:pPr>
            <w:r w:rsidRPr="004C50AB">
              <w:t>size</w:t>
            </w:r>
          </w:p>
          <w:p w:rsidR="00000000" w:rsidP="004C50AB">
            <w:pPr>
              <w:pStyle w:val="ListBullet"/>
              <w:rPr>
                <w:lang w:val="en-NZ"/>
              </w:rPr>
            </w:pPr>
            <w:r w:rsidRPr="004C50AB">
              <w:t>body build.</w:t>
            </w: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p>
        </w:tc>
      </w:tr>
      <w:tr w:rsidTr="00875D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BoldandItalics"/>
              </w:rPr>
              <w:t>Body conditions</w:t>
            </w:r>
            <w:r w:rsidRPr="004C50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C50AB" w:rsidP="004C50AB">
            <w:pPr>
              <w:pStyle w:val="ListBullet"/>
            </w:pPr>
            <w:r w:rsidRPr="004C50AB">
              <w:t>body moisture content</w:t>
            </w:r>
          </w:p>
          <w:p w:rsidR="00000000" w:rsidRPr="004C50AB" w:rsidP="004C50AB">
            <w:pPr>
              <w:pStyle w:val="ListBullet"/>
            </w:pPr>
            <w:r w:rsidRPr="004C50AB">
              <w:t>vascular problems</w:t>
            </w:r>
          </w:p>
          <w:p w:rsidR="00000000" w:rsidRPr="004C50AB" w:rsidP="004C50AB">
            <w:pPr>
              <w:pStyle w:val="ListBullet"/>
            </w:pPr>
            <w:r w:rsidRPr="004C50AB">
              <w:t>delayed embalming</w:t>
            </w:r>
          </w:p>
          <w:p w:rsidR="00000000" w:rsidRPr="004C50AB" w:rsidP="004C50AB">
            <w:pPr>
              <w:pStyle w:val="ListBullet"/>
            </w:pPr>
            <w:r w:rsidRPr="004C50AB">
              <w:t>discolouration</w:t>
            </w:r>
          </w:p>
          <w:p w:rsidR="00000000" w:rsidRPr="004C50AB" w:rsidP="004C50AB">
            <w:pPr>
              <w:pStyle w:val="ListBullet"/>
            </w:pPr>
            <w:r w:rsidRPr="004C50AB">
              <w:t>exposure to drug therapies.</w:t>
            </w:r>
          </w:p>
        </w:tc>
      </w:tr>
    </w:tbl>
    <w:p w:rsidR="00875D12" w:rsidP="004C50AB">
      <w:pPr>
        <w:pStyle w:val="BodyText"/>
      </w:pPr>
    </w:p>
    <w:p w:rsidR="00875D12" w:rsidP="004C50AB">
      <w:pPr>
        <w:pStyle w:val="BodyText"/>
      </w:pPr>
    </w:p>
    <w:p w:rsidR="00000000" w:rsidRPr="004C50AB" w:rsidP="004C50AB">
      <w:pPr>
        <w:pStyle w:val="Heading1"/>
      </w:pPr>
      <w:bookmarkStart w:id="12" w:name="O_137090"/>
      <w:bookmarkEnd w:id="12"/>
      <w:r w:rsidRPr="004C50AB">
        <w:t>Unit Sector(s)</w:t>
      </w:r>
    </w:p>
    <w:tbl>
      <w:tblPr>
        <w:tblW w:w="0" w:type="auto"/>
        <w:tblLayout w:type="fixed"/>
        <w:tblCellMar>
          <w:left w:w="62" w:type="dxa"/>
          <w:right w:w="62" w:type="dxa"/>
        </w:tblCellMar>
        <w:tblLook w:val="0000"/>
      </w:tblPr>
      <w:tblGrid>
        <w:gridCol w:w="2836"/>
        <w:gridCol w:w="6344"/>
      </w:tblGrid>
      <w:tr w:rsidTr="00875D1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C50AB" w:rsidP="004C50AB">
            <w:pPr>
              <w:pStyle w:val="BodyText"/>
            </w:pPr>
            <w:r w:rsidRPr="004C50AB">
              <w:t>Funeral Services</w:t>
            </w:r>
          </w:p>
        </w:tc>
      </w:tr>
    </w:tbl>
    <w:p w:rsidR="00000000" w:rsidRPr="004C50AB" w:rsidP="004C50AB">
      <w:pPr>
        <w:pStyle w:val="BodyText"/>
      </w:pPr>
    </w:p>
    <w:p w:rsidR="00000000" w:rsidRPr="004C50AB" w:rsidP="004C50AB">
      <w:pPr>
        <w:pStyle w:val="AllowPageBreak"/>
      </w:pPr>
    </w:p>
    <w:p w:rsidR="00000000" w:rsidRPr="004C50AB" w:rsidP="004C50AB">
      <w:pPr>
        <w:pStyle w:val="Heading1"/>
      </w:pPr>
      <w:bookmarkStart w:id="13" w:name="O_162507"/>
      <w:bookmarkEnd w:id="13"/>
      <w:r w:rsidRPr="004C50AB">
        <w:t>Competency field</w:t>
      </w:r>
    </w:p>
    <w:tbl>
      <w:tblPr>
        <w:tblW w:w="0" w:type="auto"/>
        <w:tblLayout w:type="fixed"/>
        <w:tblCellMar>
          <w:left w:w="62" w:type="dxa"/>
          <w:right w:w="62" w:type="dxa"/>
        </w:tblCellMar>
        <w:tblLook w:val="0000"/>
      </w:tblPr>
      <w:tblGrid>
        <w:gridCol w:w="2836"/>
        <w:gridCol w:w="6344"/>
      </w:tblGrid>
      <w:tr w:rsidTr="00875D1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C50AB">
            <w:pPr>
              <w:pStyle w:val="BodyText"/>
              <w:rPr>
                <w:lang w:val="en-NZ"/>
              </w:rPr>
            </w:pPr>
            <w:r w:rsidRPr="004C50AB">
              <w:t>Mortuary Work and Embalming</w:t>
            </w:r>
          </w:p>
        </w:tc>
      </w:tr>
      <w:tr w:rsidTr="00875D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C50AB" w:rsidP="004C50AB">
            <w:pPr>
              <w:pStyle w:val="BodyText"/>
            </w:pPr>
          </w:p>
        </w:tc>
      </w:tr>
    </w:tbl>
    <w:p w:rsidR="00000000" w:rsidRPr="004C50AB" w:rsidP="004C50AB">
      <w:pPr>
        <w:pStyle w:val="BodyText"/>
      </w:pPr>
    </w:p>
    <w:p w:rsidR="00000000" w:rsidRPr="004C50AB" w:rsidP="004C50AB"/>
    <w:sectPr w:rsidSect="004C50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D12" w:rsidP="00875D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D12" w:rsidP="004C50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5D12" w:rsidP="004C50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75D12" w:rsidP="004C50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AB" w:rsidRPr="00875D12" w:rsidP="00875D1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D12" w:rsidP="004C50AB">
    <w:pPr>
      <w:pStyle w:val="Header"/>
      <w:framePr w:wrap="around"/>
    </w:pPr>
    <w:r>
      <w:fldChar w:fldCharType="begin"/>
    </w:r>
    <w:r>
      <w:instrText xml:space="preserve"> TITLE   \* MERGEFORMAT </w:instrText>
    </w:r>
    <w:r>
      <w:fldChar w:fldCharType="separate"/>
    </w:r>
    <w:r>
      <w:t>SIFMWK013A Determine embalming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5D12" w:rsidP="004C5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D6E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46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D25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0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50AB"/>
    <w:pPr>
      <w:spacing w:before="360" w:after="60"/>
      <w:outlineLvl w:val="0"/>
    </w:pPr>
    <w:rPr>
      <w:sz w:val="32"/>
    </w:rPr>
  </w:style>
  <w:style w:type="paragraph" w:styleId="Heading2">
    <w:name w:val="heading 2"/>
    <w:basedOn w:val="HeadingBase"/>
    <w:next w:val="BodyText"/>
    <w:link w:val="Heading2Char"/>
    <w:qFormat/>
    <w:rsid w:val="004C50AB"/>
    <w:pPr>
      <w:keepLines/>
      <w:spacing w:before="240" w:after="120"/>
      <w:outlineLvl w:val="1"/>
    </w:pPr>
    <w:rPr>
      <w:sz w:val="28"/>
      <w:szCs w:val="40"/>
    </w:rPr>
  </w:style>
  <w:style w:type="paragraph" w:styleId="Heading3">
    <w:name w:val="heading 3"/>
    <w:basedOn w:val="HeadingBase"/>
    <w:next w:val="BodyText"/>
    <w:link w:val="Heading3Char"/>
    <w:qFormat/>
    <w:rsid w:val="004C50AB"/>
    <w:pPr>
      <w:spacing w:before="180" w:after="120"/>
      <w:outlineLvl w:val="2"/>
    </w:pPr>
    <w:rPr>
      <w:spacing w:val="-10"/>
      <w:kern w:val="32"/>
    </w:rPr>
  </w:style>
  <w:style w:type="paragraph" w:styleId="Heading4">
    <w:name w:val="heading 4"/>
    <w:basedOn w:val="HeadingBase"/>
    <w:next w:val="BodyText"/>
    <w:link w:val="Heading4Char"/>
    <w:qFormat/>
    <w:rsid w:val="004C50AB"/>
    <w:pPr>
      <w:spacing w:before="160" w:after="120"/>
      <w:outlineLvl w:val="3"/>
    </w:pPr>
    <w:rPr>
      <w:sz w:val="22"/>
    </w:rPr>
  </w:style>
  <w:style w:type="paragraph" w:styleId="Heading5">
    <w:name w:val="heading 5"/>
    <w:basedOn w:val="HeadingBase"/>
    <w:next w:val="Normal"/>
    <w:link w:val="Heading5Char"/>
    <w:qFormat/>
    <w:rsid w:val="004C50AB"/>
    <w:pPr>
      <w:spacing w:before="80"/>
      <w:outlineLvl w:val="4"/>
    </w:pPr>
    <w:rPr>
      <w:color w:val="918585"/>
      <w:sz w:val="20"/>
    </w:rPr>
  </w:style>
  <w:style w:type="paragraph" w:styleId="Heading6">
    <w:name w:val="heading 6"/>
    <w:basedOn w:val="HeadingBase"/>
    <w:next w:val="Normal"/>
    <w:link w:val="Heading6Char"/>
    <w:qFormat/>
    <w:rsid w:val="004C50AB"/>
    <w:pPr>
      <w:spacing w:before="60"/>
      <w:outlineLvl w:val="5"/>
    </w:pPr>
    <w:rPr>
      <w:color w:val="918585"/>
      <w:sz w:val="20"/>
    </w:rPr>
  </w:style>
  <w:style w:type="paragraph" w:styleId="Heading7">
    <w:name w:val="heading 7"/>
    <w:basedOn w:val="Normal"/>
    <w:next w:val="Normal"/>
    <w:link w:val="Heading7Char"/>
    <w:qFormat/>
    <w:rsid w:val="004C50AB"/>
    <w:pPr>
      <w:ind w:left="720"/>
      <w:outlineLvl w:val="6"/>
    </w:pPr>
    <w:rPr>
      <w:i/>
    </w:rPr>
  </w:style>
  <w:style w:type="paragraph" w:styleId="Heading8">
    <w:name w:val="heading 8"/>
    <w:basedOn w:val="Normal"/>
    <w:next w:val="Normal"/>
    <w:link w:val="Heading8Char"/>
    <w:qFormat/>
    <w:rsid w:val="004C50AB"/>
    <w:pPr>
      <w:ind w:left="720"/>
      <w:outlineLvl w:val="7"/>
    </w:pPr>
    <w:rPr>
      <w:i/>
    </w:rPr>
  </w:style>
  <w:style w:type="paragraph" w:styleId="Heading9">
    <w:name w:val="heading 9"/>
    <w:basedOn w:val="Normal"/>
    <w:next w:val="Normal"/>
    <w:link w:val="Heading9Char"/>
    <w:qFormat/>
    <w:rsid w:val="004C50AB"/>
    <w:pPr>
      <w:ind w:left="720"/>
      <w:outlineLvl w:val="8"/>
    </w:pPr>
    <w:rPr>
      <w:i/>
    </w:rPr>
  </w:style>
  <w:style w:type="character" w:default="1" w:styleId="DefaultParagraphFont">
    <w:name w:val="Default Paragraph Font"/>
    <w:uiPriority w:val="1"/>
    <w:unhideWhenUsed/>
    <w:rsid w:val="004C5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0AB"/>
  </w:style>
  <w:style w:type="character" w:customStyle="1" w:styleId="Heading1Char">
    <w:name w:val="Heading 1 Char"/>
    <w:link w:val="Heading1"/>
    <w:rsid w:val="004C50AB"/>
    <w:rPr>
      <w:rFonts w:ascii="Times New Roman" w:eastAsia="Times New Roman" w:hAnsi="Times New Roman" w:cs="Times New Roman"/>
      <w:b/>
      <w:sz w:val="32"/>
      <w:szCs w:val="20"/>
      <w:lang w:eastAsia="en-US"/>
    </w:rPr>
  </w:style>
  <w:style w:type="paragraph" w:styleId="BodyText">
    <w:name w:val="Body Text"/>
    <w:basedOn w:val="Normal"/>
    <w:link w:val="BodyTextChar"/>
    <w:rsid w:val="004C50AB"/>
    <w:pPr>
      <w:spacing w:before="120" w:after="120"/>
      <w:contextualSpacing/>
    </w:pPr>
    <w:rPr>
      <w:rFonts w:ascii="Times New Roman" w:hAnsi="Times New Roman"/>
      <w:sz w:val="24"/>
      <w:szCs w:val="22"/>
    </w:rPr>
  </w:style>
  <w:style w:type="character" w:customStyle="1" w:styleId="BodyTextChar">
    <w:name w:val="Body Text Char"/>
    <w:link w:val="BodyText"/>
    <w:rsid w:val="004C50AB"/>
    <w:rPr>
      <w:rFonts w:ascii="Times New Roman" w:eastAsia="Times New Roman" w:hAnsi="Times New Roman" w:cs="Times New Roman"/>
      <w:sz w:val="24"/>
      <w:lang w:val="en-US" w:eastAsia="en-US"/>
    </w:rPr>
  </w:style>
  <w:style w:type="paragraph" w:styleId="Footer">
    <w:name w:val="footer"/>
    <w:basedOn w:val="Normal"/>
    <w:link w:val="FooterChar"/>
    <w:rsid w:val="004C5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C50AB"/>
    <w:rPr>
      <w:rFonts w:ascii="Times New Roman" w:eastAsia="Times New Roman" w:hAnsi="Times New Roman" w:cs="Times New Roman"/>
      <w:sz w:val="16"/>
      <w:lang w:val="en-US" w:eastAsia="en-US"/>
    </w:rPr>
  </w:style>
  <w:style w:type="paragraph" w:styleId="List">
    <w:name w:val="List"/>
    <w:basedOn w:val="BodyText"/>
    <w:next w:val="BodyText"/>
    <w:rsid w:val="004C50AB"/>
    <w:pPr>
      <w:tabs>
        <w:tab w:val="left" w:pos="340"/>
      </w:tabs>
      <w:spacing w:before="60" w:after="60"/>
      <w:ind w:left="340" w:hanging="340"/>
    </w:pPr>
  </w:style>
  <w:style w:type="paragraph" w:styleId="ListBullet">
    <w:name w:val="List Bullet"/>
    <w:basedOn w:val="List"/>
    <w:rsid w:val="004C50AB"/>
    <w:pPr>
      <w:numPr>
        <w:numId w:val="13"/>
      </w:numPr>
      <w:tabs>
        <w:tab w:val="clear" w:pos="340"/>
      </w:tabs>
      <w:spacing w:before="40" w:after="40"/>
    </w:pPr>
  </w:style>
  <w:style w:type="character" w:customStyle="1" w:styleId="SpecialBold">
    <w:name w:val="Special Bold"/>
    <w:rsid w:val="004C50AB"/>
    <w:rPr>
      <w:b/>
      <w:spacing w:val="0"/>
    </w:rPr>
  </w:style>
  <w:style w:type="paragraph" w:styleId="ListBullet2">
    <w:name w:val="List Bullet 2"/>
    <w:basedOn w:val="List2"/>
    <w:rsid w:val="004C50AB"/>
    <w:pPr>
      <w:numPr>
        <w:numId w:val="14"/>
      </w:numPr>
      <w:tabs>
        <w:tab w:val="clear" w:pos="680"/>
      </w:tabs>
    </w:pPr>
  </w:style>
  <w:style w:type="paragraph" w:customStyle="1" w:styleId="SuperHeading">
    <w:name w:val="SuperHeading"/>
    <w:basedOn w:val="Normal"/>
    <w:rsid w:val="004C50AB"/>
    <w:pPr>
      <w:spacing w:before="240" w:after="120"/>
      <w:outlineLvl w:val="0"/>
    </w:pPr>
    <w:rPr>
      <w:rFonts w:ascii="Times New Roman" w:hAnsi="Times New Roman"/>
      <w:b/>
      <w:sz w:val="28"/>
    </w:rPr>
  </w:style>
  <w:style w:type="paragraph" w:customStyle="1" w:styleId="AllowPageBreak">
    <w:name w:val="AllowPageBreak"/>
    <w:rsid w:val="004C5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50AB"/>
    <w:rPr>
      <w:b/>
      <w:i/>
      <w:u w:val="none"/>
    </w:rPr>
  </w:style>
  <w:style w:type="character" w:customStyle="1" w:styleId="Heading2Char">
    <w:name w:val="Heading 2 Char"/>
    <w:link w:val="Heading2"/>
    <w:rsid w:val="004C50AB"/>
    <w:rPr>
      <w:rFonts w:ascii="Times New Roman" w:eastAsia="Times New Roman" w:hAnsi="Times New Roman" w:cs="Times New Roman"/>
      <w:b/>
      <w:sz w:val="28"/>
      <w:szCs w:val="40"/>
      <w:lang w:eastAsia="en-US"/>
    </w:rPr>
  </w:style>
  <w:style w:type="character" w:customStyle="1" w:styleId="Heading3Char">
    <w:name w:val="Heading 3 Char"/>
    <w:link w:val="Heading3"/>
    <w:rsid w:val="004C50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C50AB"/>
    <w:rPr>
      <w:rFonts w:ascii="Times New Roman" w:eastAsia="Times New Roman" w:hAnsi="Times New Roman" w:cs="Times New Roman"/>
      <w:b/>
      <w:szCs w:val="20"/>
      <w:lang w:eastAsia="en-US"/>
    </w:rPr>
  </w:style>
  <w:style w:type="character" w:customStyle="1" w:styleId="Heading5Char">
    <w:name w:val="Heading 5 Char"/>
    <w:link w:val="Heading5"/>
    <w:rsid w:val="004C50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C5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0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50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50AB"/>
    <w:rPr>
      <w:rFonts w:ascii="Courier New" w:eastAsia="Times New Roman" w:hAnsi="Courier New" w:cs="Times New Roman"/>
      <w:i/>
      <w:szCs w:val="20"/>
      <w:lang w:val="en-US" w:eastAsia="en-US"/>
    </w:rPr>
  </w:style>
  <w:style w:type="paragraph" w:customStyle="1" w:styleId="HeadingBase">
    <w:name w:val="Heading Base"/>
    <w:rsid w:val="004C5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0AB"/>
    <w:pPr>
      <w:tabs>
        <w:tab w:val="right" w:leader="dot" w:pos="9072"/>
      </w:tabs>
      <w:ind w:left="567"/>
    </w:pPr>
    <w:rPr>
      <w:szCs w:val="22"/>
    </w:rPr>
  </w:style>
  <w:style w:type="paragraph" w:customStyle="1" w:styleId="TOCBase">
    <w:name w:val="TOC Base"/>
    <w:rsid w:val="004C5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0AB"/>
    <w:pPr>
      <w:tabs>
        <w:tab w:val="right" w:leader="dot" w:pos="9072"/>
      </w:tabs>
      <w:spacing w:before="40" w:after="40"/>
      <w:ind w:left="284"/>
    </w:pPr>
    <w:rPr>
      <w:rFonts w:ascii="Times New Roman" w:hAnsi="Times New Roman"/>
    </w:rPr>
  </w:style>
  <w:style w:type="paragraph" w:styleId="TOC1">
    <w:name w:val="toc 1"/>
    <w:basedOn w:val="TOCBase"/>
    <w:next w:val="Normal"/>
    <w:rsid w:val="004C50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50AB"/>
    <w:pPr>
      <w:spacing w:before="5040"/>
      <w:jc w:val="center"/>
    </w:pPr>
    <w:rPr>
      <w:sz w:val="48"/>
      <w:szCs w:val="72"/>
      <w:lang w:val="en-US"/>
    </w:rPr>
  </w:style>
  <w:style w:type="character" w:customStyle="1" w:styleId="TitleChar">
    <w:name w:val="Title Char"/>
    <w:link w:val="Title"/>
    <w:rsid w:val="004C5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0AB"/>
    <w:pPr>
      <w:tabs>
        <w:tab w:val="left" w:pos="3600"/>
        <w:tab w:val="left" w:pos="3958"/>
      </w:tabs>
    </w:pPr>
  </w:style>
  <w:style w:type="paragraph" w:customStyle="1" w:styleId="Note">
    <w:name w:val="Note"/>
    <w:basedOn w:val="BodyText"/>
    <w:rsid w:val="004C5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0AB"/>
    <w:pPr>
      <w:framePr w:wrap="auto" w:hAnchor="text" w:y="6049"/>
    </w:pPr>
    <w:rPr>
      <w:color w:val="000000"/>
      <w:sz w:val="40"/>
    </w:rPr>
  </w:style>
  <w:style w:type="paragraph" w:customStyle="1" w:styleId="TOCTitle">
    <w:name w:val="TOCTitle"/>
    <w:basedOn w:val="Heading1"/>
    <w:rsid w:val="004C50AB"/>
    <w:pPr>
      <w:spacing w:after="240"/>
      <w:jc w:val="center"/>
      <w:outlineLvl w:val="9"/>
    </w:pPr>
    <w:rPr>
      <w:caps/>
    </w:rPr>
  </w:style>
  <w:style w:type="paragraph" w:customStyle="1" w:styleId="Version">
    <w:name w:val="Version"/>
    <w:rsid w:val="004C50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0AB"/>
    <w:pPr>
      <w:keepNext w:val="0"/>
      <w:tabs>
        <w:tab w:val="right" w:pos="4176"/>
      </w:tabs>
      <w:ind w:left="198" w:hanging="198"/>
    </w:pPr>
    <w:rPr>
      <w:rFonts w:ascii="Garamond" w:hAnsi="Garamond"/>
    </w:rPr>
  </w:style>
  <w:style w:type="paragraph" w:styleId="IndexHeading">
    <w:name w:val="index heading"/>
    <w:basedOn w:val="Normal"/>
    <w:next w:val="Index1"/>
    <w:semiHidden/>
    <w:rsid w:val="004C50AB"/>
    <w:pPr>
      <w:spacing w:before="120" w:after="120"/>
    </w:pPr>
    <w:rPr>
      <w:rFonts w:ascii="Arial" w:hAnsi="Arial"/>
      <w:b/>
      <w:color w:val="918585"/>
      <w:sz w:val="24"/>
    </w:rPr>
  </w:style>
  <w:style w:type="paragraph" w:styleId="Header">
    <w:name w:val="header"/>
    <w:basedOn w:val="Normal"/>
    <w:link w:val="HeaderChar"/>
    <w:rsid w:val="004C5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C50AB"/>
    <w:rPr>
      <w:rFonts w:ascii="Times New Roman" w:eastAsia="Times New Roman" w:hAnsi="Times New Roman" w:cs="Times New Roman"/>
      <w:sz w:val="16"/>
      <w:szCs w:val="20"/>
      <w:lang w:val="en-GB" w:eastAsia="en-US"/>
    </w:rPr>
  </w:style>
  <w:style w:type="paragraph" w:customStyle="1" w:styleId="Chapter">
    <w:name w:val="Chapter"/>
    <w:basedOn w:val="Normal"/>
    <w:rsid w:val="004C50AB"/>
    <w:pPr>
      <w:spacing w:before="240"/>
    </w:pPr>
    <w:rPr>
      <w:rFonts w:ascii="Times New Roman" w:hAnsi="Times New Roman"/>
      <w:smallCaps/>
      <w:spacing w:val="80"/>
      <w:sz w:val="28"/>
    </w:rPr>
  </w:style>
  <w:style w:type="paragraph" w:customStyle="1" w:styleId="InChapter">
    <w:name w:val="InChapter"/>
    <w:basedOn w:val="Heading3"/>
    <w:rsid w:val="004C50AB"/>
    <w:pPr>
      <w:spacing w:after="240"/>
      <w:outlineLvl w:val="9"/>
    </w:pPr>
    <w:rPr>
      <w:noProof/>
    </w:rPr>
  </w:style>
  <w:style w:type="paragraph" w:styleId="Index2">
    <w:name w:val="index 2"/>
    <w:basedOn w:val="Normal"/>
    <w:next w:val="Normal"/>
    <w:semiHidden/>
    <w:rsid w:val="004C50AB"/>
    <w:pPr>
      <w:tabs>
        <w:tab w:val="right" w:pos="4176"/>
      </w:tabs>
      <w:ind w:left="568" w:hanging="284"/>
    </w:pPr>
    <w:rPr>
      <w:rFonts w:ascii="Garamond" w:hAnsi="Garamond"/>
    </w:rPr>
  </w:style>
  <w:style w:type="paragraph" w:customStyle="1" w:styleId="Byline">
    <w:name w:val="Byline"/>
    <w:rsid w:val="004C5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0AB"/>
    <w:pPr>
      <w:tabs>
        <w:tab w:val="clear" w:pos="3600"/>
        <w:tab w:val="clear" w:pos="3958"/>
      </w:tabs>
      <w:jc w:val="right"/>
    </w:pPr>
  </w:style>
  <w:style w:type="character" w:styleId="Emphasis">
    <w:name w:val="Emphasis"/>
    <w:qFormat/>
    <w:rsid w:val="004C50AB"/>
    <w:rPr>
      <w:i/>
    </w:rPr>
  </w:style>
  <w:style w:type="paragraph" w:styleId="Caption">
    <w:name w:val="caption"/>
    <w:basedOn w:val="BodyText"/>
    <w:next w:val="Normal"/>
    <w:qFormat/>
    <w:rsid w:val="004C50AB"/>
    <w:pPr>
      <w:framePr w:w="2268" w:hSpace="181" w:vSpace="181" w:wrap="around" w:vAnchor="text" w:hAnchor="page" w:x="1135" w:y="285" w:anchorLock="1"/>
    </w:pPr>
    <w:rPr>
      <w:i/>
    </w:rPr>
  </w:style>
  <w:style w:type="paragraph" w:customStyle="1" w:styleId="MiniTOCTitle">
    <w:name w:val="MiniTOCTitle"/>
    <w:basedOn w:val="Heading4"/>
    <w:rsid w:val="004C50AB"/>
    <w:pPr>
      <w:spacing w:before="240"/>
      <w:outlineLvl w:val="9"/>
    </w:pPr>
    <w:rPr>
      <w:noProof/>
      <w:sz w:val="24"/>
    </w:rPr>
  </w:style>
  <w:style w:type="paragraph" w:customStyle="1" w:styleId="MiniTOCItem">
    <w:name w:val="MiniTOCItem"/>
    <w:basedOn w:val="ListBullet"/>
    <w:rsid w:val="004C50AB"/>
    <w:pPr>
      <w:numPr>
        <w:numId w:val="0"/>
      </w:numPr>
      <w:tabs>
        <w:tab w:val="right" w:leader="dot" w:pos="6521"/>
      </w:tabs>
      <w:spacing w:before="0" w:after="0"/>
    </w:pPr>
  </w:style>
  <w:style w:type="paragraph" w:customStyle="1" w:styleId="TOFTitle">
    <w:name w:val="TOFTitle"/>
    <w:basedOn w:val="TOCTitle"/>
    <w:rsid w:val="004C50AB"/>
  </w:style>
  <w:style w:type="paragraph" w:styleId="TableofFigures">
    <w:name w:val="table of figures"/>
    <w:basedOn w:val="Normal"/>
    <w:next w:val="Normal"/>
    <w:semiHidden/>
    <w:rsid w:val="004C50AB"/>
    <w:pPr>
      <w:tabs>
        <w:tab w:val="right" w:leader="dot" w:pos="9072"/>
      </w:tabs>
      <w:ind w:left="970" w:hanging="403"/>
    </w:pPr>
    <w:rPr>
      <w:rFonts w:ascii="Times New Roman" w:hAnsi="Times New Roman"/>
      <w:b/>
    </w:rPr>
  </w:style>
  <w:style w:type="paragraph" w:styleId="ListNumber">
    <w:name w:val="List Number"/>
    <w:basedOn w:val="List"/>
    <w:rsid w:val="004C50AB"/>
    <w:pPr>
      <w:numPr>
        <w:numId w:val="11"/>
      </w:numPr>
    </w:pPr>
  </w:style>
  <w:style w:type="character" w:customStyle="1" w:styleId="WingdingSymbols">
    <w:name w:val="Wingding Symbols"/>
    <w:rsid w:val="004C50AB"/>
    <w:rPr>
      <w:rFonts w:ascii="Wingdings" w:hAnsi="Wingdings"/>
    </w:rPr>
  </w:style>
  <w:style w:type="paragraph" w:customStyle="1" w:styleId="TableHeading">
    <w:name w:val="Table Heading"/>
    <w:basedOn w:val="HeadingBase"/>
    <w:rsid w:val="004C50AB"/>
    <w:pPr>
      <w:keepLines/>
      <w:pBdr>
        <w:bottom w:val="single" w:sz="6" w:space="1" w:color="918585"/>
      </w:pBdr>
      <w:spacing w:before="240"/>
    </w:pPr>
  </w:style>
  <w:style w:type="character" w:customStyle="1" w:styleId="HotSpot">
    <w:name w:val="HotSpot"/>
    <w:rsid w:val="004C50AB"/>
    <w:rPr>
      <w:color w:val="0033CC"/>
      <w:u w:val="none"/>
    </w:rPr>
  </w:style>
  <w:style w:type="paragraph" w:customStyle="1" w:styleId="BodyTextRight">
    <w:name w:val="Body Text Right"/>
    <w:basedOn w:val="BodyText"/>
    <w:rsid w:val="004C50AB"/>
    <w:pPr>
      <w:spacing w:before="0" w:after="0"/>
      <w:jc w:val="right"/>
    </w:pPr>
  </w:style>
  <w:style w:type="paragraph" w:styleId="Index3">
    <w:name w:val="index 3"/>
    <w:basedOn w:val="ListNumber2"/>
    <w:next w:val="Normal"/>
    <w:semiHidden/>
    <w:rsid w:val="004C50AB"/>
    <w:pPr>
      <w:numPr>
        <w:numId w:val="0"/>
      </w:numPr>
      <w:tabs>
        <w:tab w:val="right" w:leader="dot" w:pos="4176"/>
      </w:tabs>
    </w:pPr>
  </w:style>
  <w:style w:type="paragraph" w:styleId="ListNumber2">
    <w:name w:val="List Number 2"/>
    <w:basedOn w:val="List2"/>
    <w:rsid w:val="004C50AB"/>
    <w:pPr>
      <w:numPr>
        <w:numId w:val="10"/>
      </w:numPr>
      <w:tabs>
        <w:tab w:val="clear" w:pos="1060"/>
      </w:tabs>
    </w:pPr>
  </w:style>
  <w:style w:type="paragraph" w:customStyle="1" w:styleId="MarginNote">
    <w:name w:val="Margin Note"/>
    <w:basedOn w:val="BodyText"/>
    <w:rsid w:val="004C5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C50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50AB"/>
    <w:rPr>
      <w:sz w:val="32"/>
    </w:rPr>
  </w:style>
  <w:style w:type="paragraph" w:customStyle="1" w:styleId="HeadingProcedure">
    <w:name w:val="Heading Procedure"/>
    <w:basedOn w:val="HeadingBase"/>
    <w:next w:val="Normal"/>
    <w:rsid w:val="004C50AB"/>
    <w:pPr>
      <w:tabs>
        <w:tab w:val="left" w:pos="0"/>
      </w:tabs>
      <w:spacing w:before="120" w:after="60"/>
    </w:pPr>
    <w:rPr>
      <w:i/>
      <w:color w:val="918585"/>
      <w:sz w:val="22"/>
    </w:rPr>
  </w:style>
  <w:style w:type="paragraph" w:customStyle="1" w:styleId="TableBodyText">
    <w:name w:val="Table Body Text"/>
    <w:basedOn w:val="BodyText"/>
    <w:rsid w:val="004C50AB"/>
    <w:pPr>
      <w:spacing w:before="60" w:after="60"/>
    </w:pPr>
  </w:style>
  <w:style w:type="paragraph" w:styleId="ListContinue">
    <w:name w:val="List Continue"/>
    <w:basedOn w:val="List"/>
    <w:rsid w:val="004C50AB"/>
    <w:pPr>
      <w:ind w:firstLine="0"/>
    </w:pPr>
  </w:style>
  <w:style w:type="paragraph" w:customStyle="1" w:styleId="ListNote">
    <w:name w:val="List Note"/>
    <w:basedOn w:val="List"/>
    <w:rsid w:val="004C50AB"/>
    <w:pPr>
      <w:pBdr>
        <w:top w:val="single" w:sz="6" w:space="2" w:color="918585"/>
        <w:bottom w:val="single" w:sz="6" w:space="2" w:color="918585"/>
      </w:pBdr>
      <w:tabs>
        <w:tab w:val="left" w:pos="1021"/>
      </w:tabs>
      <w:ind w:firstLine="0"/>
    </w:pPr>
  </w:style>
  <w:style w:type="paragraph" w:customStyle="1" w:styleId="Warning">
    <w:name w:val="Warning"/>
    <w:basedOn w:val="BodyText"/>
    <w:rsid w:val="004C50AB"/>
    <w:pPr>
      <w:shd w:val="clear" w:color="auto" w:fill="D9D9D9"/>
      <w:tabs>
        <w:tab w:val="left" w:pos="992"/>
      </w:tabs>
      <w:ind w:left="119" w:right="119"/>
    </w:pPr>
    <w:rPr>
      <w:sz w:val="20"/>
    </w:rPr>
  </w:style>
  <w:style w:type="paragraph" w:customStyle="1" w:styleId="MarginIcons">
    <w:name w:val="Margin Icons"/>
    <w:basedOn w:val="BodyText"/>
    <w:rsid w:val="004C50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C50AB"/>
    <w:rPr>
      <w:rFonts w:ascii="Courier New" w:hAnsi="Courier New"/>
    </w:rPr>
  </w:style>
  <w:style w:type="paragraph" w:customStyle="1" w:styleId="NoteBullet">
    <w:name w:val="Note Bullet"/>
    <w:basedOn w:val="Note"/>
    <w:rsid w:val="004C50AB"/>
    <w:pPr>
      <w:tabs>
        <w:tab w:val="clear" w:pos="680"/>
      </w:tabs>
      <w:spacing w:before="60" w:after="60"/>
    </w:pPr>
  </w:style>
  <w:style w:type="paragraph" w:customStyle="1" w:styleId="SubHeading2">
    <w:name w:val="SubHeading2"/>
    <w:basedOn w:val="HeadingBase"/>
    <w:rsid w:val="004C50AB"/>
    <w:pPr>
      <w:spacing w:before="240" w:after="60"/>
    </w:pPr>
    <w:rPr>
      <w:sz w:val="20"/>
    </w:rPr>
  </w:style>
  <w:style w:type="paragraph" w:customStyle="1" w:styleId="SubHeading1">
    <w:name w:val="SubHeading1"/>
    <w:basedOn w:val="HeadingBase"/>
    <w:rsid w:val="004C50AB"/>
    <w:pPr>
      <w:spacing w:before="240" w:after="60"/>
    </w:pPr>
    <w:rPr>
      <w:color w:val="918585"/>
      <w:sz w:val="22"/>
    </w:rPr>
  </w:style>
  <w:style w:type="paragraph" w:customStyle="1" w:styleId="SideHeading">
    <w:name w:val="Side Heading"/>
    <w:basedOn w:val="HeadingBase"/>
    <w:rsid w:val="004C5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0AB"/>
    <w:pPr>
      <w:numPr>
        <w:numId w:val="12"/>
      </w:numPr>
    </w:pPr>
  </w:style>
  <w:style w:type="paragraph" w:styleId="PlainText">
    <w:name w:val="Plain Text"/>
    <w:basedOn w:val="Normal"/>
    <w:link w:val="PlainTextChar"/>
    <w:rsid w:val="004C50AB"/>
    <w:rPr>
      <w:sz w:val="20"/>
    </w:rPr>
  </w:style>
  <w:style w:type="character" w:customStyle="1" w:styleId="PlainTextChar">
    <w:name w:val="Plain Text Char"/>
    <w:basedOn w:val="DefaultParagraphFont"/>
    <w:link w:val="PlainText"/>
    <w:rsid w:val="004C50AB"/>
    <w:rPr>
      <w:rFonts w:ascii="Courier New" w:eastAsia="Times New Roman" w:hAnsi="Courier New" w:cs="Times New Roman"/>
      <w:sz w:val="20"/>
      <w:szCs w:val="20"/>
      <w:lang w:val="en-US" w:eastAsia="en-US"/>
    </w:rPr>
  </w:style>
  <w:style w:type="character" w:customStyle="1" w:styleId="MenuOption">
    <w:name w:val="Menu Option"/>
    <w:rsid w:val="004C50AB"/>
    <w:rPr>
      <w:b/>
      <w:smallCaps/>
    </w:rPr>
  </w:style>
  <w:style w:type="paragraph" w:customStyle="1" w:styleId="TableListNumber">
    <w:name w:val="Table List Number"/>
    <w:basedOn w:val="ListNumber"/>
    <w:rsid w:val="004C50AB"/>
    <w:pPr>
      <w:numPr>
        <w:numId w:val="0"/>
      </w:numPr>
    </w:pPr>
  </w:style>
  <w:style w:type="paragraph" w:styleId="TOC4">
    <w:name w:val="toc 4"/>
    <w:basedOn w:val="TOCBase"/>
    <w:next w:val="Normal"/>
    <w:semiHidden/>
    <w:rsid w:val="004C50AB"/>
    <w:pPr>
      <w:tabs>
        <w:tab w:val="right" w:leader="dot" w:pos="9071"/>
      </w:tabs>
      <w:ind w:left="1701"/>
    </w:pPr>
  </w:style>
  <w:style w:type="paragraph" w:customStyle="1" w:styleId="ListAlpha">
    <w:name w:val="List Alpha"/>
    <w:basedOn w:val="List"/>
    <w:rsid w:val="004C50AB"/>
    <w:pPr>
      <w:numPr>
        <w:numId w:val="9"/>
      </w:numPr>
    </w:pPr>
  </w:style>
  <w:style w:type="paragraph" w:customStyle="1" w:styleId="ListAlpha2">
    <w:name w:val="List Alpha 2"/>
    <w:basedOn w:val="List2"/>
    <w:rsid w:val="004C50AB"/>
    <w:pPr>
      <w:numPr>
        <w:numId w:val="8"/>
      </w:numPr>
    </w:pPr>
  </w:style>
  <w:style w:type="paragraph" w:styleId="List2">
    <w:name w:val="List 2"/>
    <w:basedOn w:val="BodyText"/>
    <w:rsid w:val="004C50AB"/>
    <w:pPr>
      <w:tabs>
        <w:tab w:val="left" w:pos="680"/>
      </w:tabs>
      <w:spacing w:before="60" w:after="60"/>
      <w:ind w:left="680" w:hanging="340"/>
    </w:pPr>
  </w:style>
  <w:style w:type="paragraph" w:styleId="List3">
    <w:name w:val="List 3"/>
    <w:basedOn w:val="BodyText"/>
    <w:rsid w:val="004C50AB"/>
    <w:pPr>
      <w:tabs>
        <w:tab w:val="left" w:pos="1021"/>
      </w:tabs>
      <w:spacing w:before="60" w:after="60"/>
      <w:ind w:left="1020" w:hanging="340"/>
    </w:pPr>
  </w:style>
  <w:style w:type="paragraph" w:styleId="List4">
    <w:name w:val="List 4"/>
    <w:basedOn w:val="BodyText"/>
    <w:rsid w:val="004C50AB"/>
    <w:pPr>
      <w:tabs>
        <w:tab w:val="left" w:pos="1361"/>
      </w:tabs>
      <w:spacing w:before="60" w:after="60"/>
      <w:ind w:left="1361" w:hanging="340"/>
    </w:pPr>
  </w:style>
  <w:style w:type="paragraph" w:styleId="List5">
    <w:name w:val="List 5"/>
    <w:basedOn w:val="BodyText"/>
    <w:rsid w:val="004C50AB"/>
    <w:pPr>
      <w:tabs>
        <w:tab w:val="left" w:pos="1701"/>
      </w:tabs>
      <w:spacing w:before="60" w:after="60"/>
      <w:ind w:left="1701" w:hanging="340"/>
    </w:pPr>
  </w:style>
  <w:style w:type="paragraph" w:styleId="ListBullet3">
    <w:name w:val="List Bullet 3"/>
    <w:basedOn w:val="List3"/>
    <w:rsid w:val="004C50AB"/>
    <w:pPr>
      <w:numPr>
        <w:numId w:val="15"/>
      </w:numPr>
      <w:tabs>
        <w:tab w:val="clear" w:pos="1021"/>
      </w:tabs>
      <w:ind w:left="1037" w:hanging="357"/>
    </w:pPr>
  </w:style>
  <w:style w:type="paragraph" w:styleId="ListBullet4">
    <w:name w:val="List Bullet 4"/>
    <w:basedOn w:val="List4"/>
    <w:rsid w:val="004C50AB"/>
    <w:pPr>
      <w:numPr>
        <w:numId w:val="3"/>
      </w:numPr>
    </w:pPr>
  </w:style>
  <w:style w:type="paragraph" w:styleId="ListBullet5">
    <w:name w:val="List Bullet 5"/>
    <w:basedOn w:val="List5"/>
    <w:rsid w:val="004C50AB"/>
    <w:pPr>
      <w:numPr>
        <w:numId w:val="4"/>
      </w:numPr>
    </w:pPr>
  </w:style>
  <w:style w:type="paragraph" w:styleId="ListContinue2">
    <w:name w:val="List Continue 2"/>
    <w:basedOn w:val="List2"/>
    <w:rsid w:val="004C50AB"/>
    <w:pPr>
      <w:ind w:firstLine="0"/>
    </w:pPr>
  </w:style>
  <w:style w:type="paragraph" w:styleId="ListContinue3">
    <w:name w:val="List Continue 3"/>
    <w:basedOn w:val="List3"/>
    <w:rsid w:val="004C50AB"/>
    <w:pPr>
      <w:ind w:left="1021" w:firstLine="0"/>
    </w:pPr>
  </w:style>
  <w:style w:type="paragraph" w:styleId="ListContinue4">
    <w:name w:val="List Continue 4"/>
    <w:basedOn w:val="List4"/>
    <w:rsid w:val="004C50AB"/>
    <w:pPr>
      <w:ind w:firstLine="0"/>
    </w:pPr>
  </w:style>
  <w:style w:type="paragraph" w:styleId="ListContinue5">
    <w:name w:val="List Continue 5"/>
    <w:basedOn w:val="List5"/>
    <w:rsid w:val="004C50AB"/>
    <w:pPr>
      <w:ind w:firstLine="0"/>
    </w:pPr>
  </w:style>
  <w:style w:type="paragraph" w:styleId="ListNumber3">
    <w:name w:val="List Number 3"/>
    <w:basedOn w:val="List3"/>
    <w:rsid w:val="004C50AB"/>
    <w:pPr>
      <w:numPr>
        <w:numId w:val="5"/>
      </w:numPr>
    </w:pPr>
  </w:style>
  <w:style w:type="paragraph" w:styleId="ListNumber4">
    <w:name w:val="List Number 4"/>
    <w:basedOn w:val="List4"/>
    <w:rsid w:val="004C50AB"/>
    <w:pPr>
      <w:numPr>
        <w:numId w:val="6"/>
      </w:numPr>
    </w:pPr>
  </w:style>
  <w:style w:type="paragraph" w:styleId="ListNumber5">
    <w:name w:val="List Number 5"/>
    <w:basedOn w:val="List5"/>
    <w:rsid w:val="004C50AB"/>
    <w:pPr>
      <w:numPr>
        <w:numId w:val="7"/>
      </w:numPr>
    </w:pPr>
  </w:style>
  <w:style w:type="paragraph" w:styleId="BlockText">
    <w:name w:val="Block Text"/>
    <w:basedOn w:val="Normal"/>
    <w:rsid w:val="004C50AB"/>
    <w:pPr>
      <w:spacing w:after="120"/>
      <w:ind w:left="1440" w:right="1440"/>
    </w:pPr>
  </w:style>
  <w:style w:type="character" w:customStyle="1" w:styleId="Subscript">
    <w:name w:val="Subscript"/>
    <w:rsid w:val="004C50AB"/>
    <w:rPr>
      <w:sz w:val="16"/>
      <w:vertAlign w:val="subscript"/>
    </w:rPr>
  </w:style>
  <w:style w:type="character" w:customStyle="1" w:styleId="Superscript">
    <w:name w:val="Superscript"/>
    <w:rsid w:val="004C50AB"/>
    <w:rPr>
      <w:sz w:val="16"/>
      <w:vertAlign w:val="superscript"/>
    </w:rPr>
  </w:style>
  <w:style w:type="character" w:customStyle="1" w:styleId="Symbols">
    <w:name w:val="Symbols"/>
    <w:rsid w:val="004C50AB"/>
    <w:rPr>
      <w:rFonts w:ascii="Symbol" w:hAnsi="Symbol"/>
    </w:rPr>
  </w:style>
  <w:style w:type="character" w:customStyle="1" w:styleId="MenuOptions">
    <w:name w:val="Menu Options"/>
    <w:rsid w:val="004C50AB"/>
    <w:rPr>
      <w:rFonts w:ascii="Arial Narrow" w:hAnsi="Arial Narrow"/>
      <w:smallCaps/>
    </w:rPr>
  </w:style>
  <w:style w:type="character" w:customStyle="1" w:styleId="Buttons">
    <w:name w:val="Buttons"/>
    <w:rsid w:val="004C50AB"/>
    <w:rPr>
      <w:b/>
    </w:rPr>
  </w:style>
  <w:style w:type="character" w:customStyle="1" w:styleId="Underlined">
    <w:name w:val="Underlined"/>
    <w:rsid w:val="004C50AB"/>
    <w:rPr>
      <w:u w:val="single"/>
    </w:rPr>
  </w:style>
  <w:style w:type="paragraph" w:customStyle="1" w:styleId="TableBodyTextRight">
    <w:name w:val="Table Body Text Right"/>
    <w:basedOn w:val="TableBodyText"/>
    <w:rsid w:val="004C50AB"/>
    <w:pPr>
      <w:widowControl w:val="0"/>
      <w:autoSpaceDE w:val="0"/>
      <w:autoSpaceDN w:val="0"/>
      <w:adjustRightInd w:val="0"/>
      <w:jc w:val="right"/>
    </w:pPr>
    <w:rPr>
      <w:rFonts w:cs="Arial"/>
      <w:szCs w:val="18"/>
    </w:rPr>
  </w:style>
  <w:style w:type="paragraph" w:customStyle="1" w:styleId="CopyrightText">
    <w:name w:val="Copyright Text"/>
    <w:basedOn w:val="BodyText"/>
    <w:rsid w:val="004C50AB"/>
    <w:rPr>
      <w:sz w:val="18"/>
    </w:rPr>
  </w:style>
  <w:style w:type="paragraph" w:customStyle="1" w:styleId="BodySmallRight">
    <w:name w:val="Body Small Right"/>
    <w:basedOn w:val="BodyTextRight"/>
    <w:rsid w:val="004C50AB"/>
    <w:rPr>
      <w:sz w:val="18"/>
      <w:szCs w:val="18"/>
    </w:rPr>
  </w:style>
  <w:style w:type="paragraph" w:customStyle="1" w:styleId="MarginEdition">
    <w:name w:val="Margin Edition"/>
    <w:basedOn w:val="MarginNote"/>
    <w:rsid w:val="004C50AB"/>
    <w:pPr>
      <w:spacing w:before="0" w:after="0"/>
    </w:pPr>
    <w:rPr>
      <w:rFonts w:ascii="Times New Roman" w:hAnsi="Times New Roman"/>
      <w:color w:val="999999"/>
    </w:rPr>
  </w:style>
  <w:style w:type="paragraph" w:customStyle="1" w:styleId="Spacer">
    <w:name w:val="Spacer"/>
    <w:basedOn w:val="Normal"/>
    <w:rsid w:val="004C50AB"/>
    <w:rPr>
      <w:sz w:val="2"/>
      <w:szCs w:val="2"/>
    </w:rPr>
  </w:style>
  <w:style w:type="character" w:customStyle="1" w:styleId="Small">
    <w:name w:val="Small"/>
    <w:rsid w:val="004C50AB"/>
    <w:rPr>
      <w:sz w:val="16"/>
    </w:rPr>
  </w:style>
  <w:style w:type="paragraph" w:customStyle="1" w:styleId="WideTable">
    <w:name w:val="Wide Table"/>
    <w:basedOn w:val="Normal"/>
    <w:rsid w:val="004C50AB"/>
    <w:pPr>
      <w:ind w:left="-1418"/>
    </w:pPr>
    <w:rPr>
      <w:sz w:val="2"/>
      <w:szCs w:val="2"/>
    </w:rPr>
  </w:style>
  <w:style w:type="character" w:styleId="PageNumber">
    <w:name w:val="page number"/>
    <w:rsid w:val="004C50AB"/>
  </w:style>
  <w:style w:type="paragraph" w:styleId="Quote">
    <w:name w:val="Quote"/>
    <w:basedOn w:val="Heading1"/>
    <w:link w:val="QuoteChar"/>
    <w:qFormat/>
    <w:rsid w:val="004C50AB"/>
    <w:rPr>
      <w:b w:val="0"/>
      <w:sz w:val="72"/>
      <w:szCs w:val="72"/>
      <w:lang w:val="en-NZ"/>
    </w:rPr>
  </w:style>
  <w:style w:type="character" w:customStyle="1" w:styleId="QuoteChar">
    <w:name w:val="Quote Char"/>
    <w:link w:val="Quote"/>
    <w:rsid w:val="004C5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0AB"/>
    <w:pPr>
      <w:pageBreakBefore/>
    </w:pPr>
  </w:style>
  <w:style w:type="paragraph" w:customStyle="1" w:styleId="Border">
    <w:name w:val="Border"/>
    <w:basedOn w:val="Normal"/>
    <w:qFormat/>
    <w:rsid w:val="004C50AB"/>
    <w:pPr>
      <w:pBdr>
        <w:top w:val="single" w:sz="18" w:space="1" w:color="auto"/>
      </w:pBdr>
    </w:pPr>
    <w:rPr>
      <w:rFonts w:ascii="Times New Roman" w:hAnsi="Times New Roman"/>
      <w:color w:val="FFFFFF"/>
      <w:sz w:val="2"/>
    </w:rPr>
  </w:style>
  <w:style w:type="character" w:styleId="IntenseEmphasis">
    <w:name w:val="Intense Emphasis"/>
    <w:uiPriority w:val="21"/>
    <w:qFormat/>
    <w:rsid w:val="004C50AB"/>
    <w:rPr>
      <w:b/>
      <w:bCs/>
      <w:i/>
      <w:iCs/>
      <w:color w:val="auto"/>
    </w:rPr>
  </w:style>
  <w:style w:type="paragraph" w:styleId="IntenseQuote">
    <w:name w:val="Intense Quote"/>
    <w:basedOn w:val="Normal"/>
    <w:next w:val="Normal"/>
    <w:link w:val="IntenseQuoteChar"/>
    <w:uiPriority w:val="30"/>
    <w:qFormat/>
    <w:rsid w:val="004C50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C50AB"/>
    <w:rPr>
      <w:rFonts w:ascii="Courier New" w:eastAsia="Times New Roman" w:hAnsi="Courier New" w:cs="Times New Roman"/>
      <w:b/>
      <w:bCs/>
      <w:i/>
      <w:iCs/>
      <w:szCs w:val="20"/>
      <w:lang w:val="en-US" w:eastAsia="en-US"/>
    </w:rPr>
  </w:style>
  <w:style w:type="character" w:styleId="SubtleReference">
    <w:name w:val="Subtle Reference"/>
    <w:uiPriority w:val="31"/>
    <w:qFormat/>
    <w:rsid w:val="004C50AB"/>
    <w:rPr>
      <w:smallCaps/>
      <w:color w:val="auto"/>
      <w:u w:val="single"/>
    </w:rPr>
  </w:style>
  <w:style w:type="character" w:styleId="IntenseReference">
    <w:name w:val="Intense Reference"/>
    <w:uiPriority w:val="32"/>
    <w:qFormat/>
    <w:rsid w:val="004C50AB"/>
    <w:rPr>
      <w:b/>
      <w:bCs/>
      <w:smallCaps/>
      <w:color w:val="auto"/>
      <w:spacing w:val="5"/>
      <w:u w:val="single"/>
    </w:rPr>
  </w:style>
  <w:style w:type="paragraph" w:customStyle="1" w:styleId="2ColumnHeading">
    <w:name w:val="2Column Heading"/>
    <w:basedOn w:val="BodyText"/>
    <w:qFormat/>
    <w:rsid w:val="004C50AB"/>
    <w:pPr>
      <w:spacing w:after="60"/>
      <w:ind w:left="-2268"/>
    </w:pPr>
    <w:rPr>
      <w:b/>
    </w:rPr>
  </w:style>
  <w:style w:type="paragraph" w:customStyle="1" w:styleId="Heading1TOC">
    <w:name w:val="Heading1 TOC"/>
    <w:basedOn w:val="Normal"/>
    <w:qFormat/>
    <w:rsid w:val="004C50AB"/>
    <w:pPr>
      <w:spacing w:before="240" w:after="120"/>
    </w:pPr>
    <w:rPr>
      <w:rFonts w:ascii="Times New Roman" w:hAnsi="Times New Roman"/>
      <w:b/>
      <w:sz w:val="32"/>
    </w:rPr>
  </w:style>
  <w:style w:type="paragraph" w:customStyle="1" w:styleId="Heading2TOC">
    <w:name w:val="Heading2 TOC"/>
    <w:basedOn w:val="Normal"/>
    <w:qFormat/>
    <w:rsid w:val="004C50AB"/>
    <w:pPr>
      <w:spacing w:before="240" w:after="60"/>
    </w:pPr>
    <w:rPr>
      <w:rFonts w:ascii="Times New Roman" w:hAnsi="Times New Roman"/>
      <w:b/>
      <w:sz w:val="28"/>
    </w:rPr>
  </w:style>
  <w:style w:type="character" w:customStyle="1" w:styleId="Underline">
    <w:name w:val="Underline"/>
    <w:qFormat/>
    <w:rsid w:val="004C50AB"/>
    <w:rPr>
      <w:u w:val="single"/>
    </w:rPr>
  </w:style>
  <w:style w:type="paragraph" w:styleId="BalloonText">
    <w:name w:val="Balloon Text"/>
    <w:basedOn w:val="Normal"/>
    <w:link w:val="BalloonTextChar"/>
    <w:rsid w:val="004C50AB"/>
    <w:rPr>
      <w:rFonts w:ascii="Tahoma" w:hAnsi="Tahoma" w:cs="Tahoma"/>
      <w:sz w:val="16"/>
      <w:szCs w:val="16"/>
    </w:rPr>
  </w:style>
  <w:style w:type="character" w:customStyle="1" w:styleId="BalloonTextChar">
    <w:name w:val="Balloon Text Char"/>
    <w:link w:val="BalloonText"/>
    <w:rsid w:val="004C50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50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C50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1352</Words>
  <Characters>8869</Characters>
  <Application>Microsoft Office Word</Application>
  <DocSecurity>0</DocSecurity>
  <Lines>397</Lines>
  <Paragraphs>222</Paragraphs>
  <ScaleCrop>false</ScaleCrop>
  <Company>Author-it Software Corporation Ltd.</Company>
  <LinksUpToDate>false</LinksUpToDate>
  <CharactersWithSpaces>10144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SIFMWK013A Determine embalming requirements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2012-05-26T21:35:00Z</dcterms:created>
  <dcterms:modified xsi:type="dcterms:W3CDTF">2012-05-26T21:35:00Z</dcterms:modified>
</cp:coreProperties>
</file>