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556" w:rsidP="00FA5556">
      <w:pPr>
        <w:pStyle w:val="Title"/>
      </w:pPr>
      <w:r>
        <w:fldChar w:fldCharType="begin"/>
      </w:r>
      <w:r>
        <w:instrText xml:space="preserve"> TITLE   \* MERGEFORMAT </w:instrText>
      </w:r>
      <w:r>
        <w:fldChar w:fldCharType="separate"/>
      </w:r>
      <w:r>
        <w:t>SIFMWK001A Encoffin the deceased person</w:t>
      </w:r>
      <w:r>
        <w:fldChar w:fldCharType="end"/>
      </w:r>
    </w:p>
    <w:p w:rsidR="00FA5556" w:rsidP="00FA5556">
      <w:pPr>
        <w:pStyle w:val="Version"/>
        <w:sectPr w:rsidSect="00C56A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56ABE" w:rsidP="00C56ABE">
      <w:pPr>
        <w:pStyle w:val="SuperHeading"/>
      </w:pPr>
      <w:r w:rsidRPr="00C56ABE">
        <w:t>SIFMWK001A Encoffin the deceased person</w:t>
      </w:r>
    </w:p>
    <w:p w:rsidR="00000000" w:rsidRPr="00C56ABE" w:rsidP="00C56ABE">
      <w:pPr>
        <w:pStyle w:val="Heading1"/>
      </w:pPr>
      <w:bookmarkStart w:id="1" w:name="O_136935"/>
      <w:bookmarkEnd w:id="1"/>
      <w:r w:rsidRPr="00C56ABE">
        <w:t>Modification History</w:t>
      </w:r>
    </w:p>
    <w:p w:rsidR="00000000" w:rsidRPr="00C56ABE" w:rsidP="00C56ABE">
      <w:pPr>
        <w:pStyle w:val="BodyText"/>
      </w:pPr>
      <w:r w:rsidRPr="00C56ABE">
        <w:t>Not applicable.</w:t>
      </w:r>
    </w:p>
    <w:p w:rsidR="00000000" w:rsidRPr="00C56ABE" w:rsidP="00C56ABE">
      <w:pPr>
        <w:pStyle w:val="AllowPageBreak"/>
      </w:pPr>
    </w:p>
    <w:p w:rsidR="00000000" w:rsidRPr="00C56ABE" w:rsidP="00C56ABE">
      <w:pPr>
        <w:pStyle w:val="Heading1"/>
      </w:pPr>
      <w:bookmarkStart w:id="2" w:name="O_136936"/>
      <w:bookmarkEnd w:id="2"/>
      <w:r w:rsidRPr="00C56ABE">
        <w:t>Unit Descriptor</w:t>
      </w:r>
    </w:p>
    <w:tbl>
      <w:tblPr>
        <w:tblW w:w="0" w:type="auto"/>
        <w:tblLayout w:type="fixed"/>
        <w:tblCellMar>
          <w:left w:w="62" w:type="dxa"/>
          <w:right w:w="62" w:type="dxa"/>
        </w:tblCellMar>
        <w:tblLook w:val="0000"/>
      </w:tblPr>
      <w:tblGrid>
        <w:gridCol w:w="2836"/>
        <w:gridCol w:w="6344"/>
      </w:tblGrid>
      <w:tr w:rsidTr="00FA555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t>This unit describes the performance outcomes, skills and knowledge required to encoffin a deceased person safe</w:t>
            </w:r>
            <w:r w:rsidRPr="00C56ABE">
              <w:t>ly and appropriately according to OHS procedures and work requirements and to complete engraving requirements.</w:t>
            </w:r>
          </w:p>
        </w:tc>
      </w:tr>
      <w:tr w:rsidTr="00FA55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56ABE" w:rsidP="00C56ABE">
            <w:pPr>
              <w:pStyle w:val="BodyText"/>
            </w:pPr>
          </w:p>
        </w:tc>
      </w:tr>
    </w:tbl>
    <w:p w:rsidR="00000000" w:rsidRPr="00C56ABE" w:rsidP="00C56ABE">
      <w:pPr>
        <w:pStyle w:val="BodyText"/>
      </w:pPr>
    </w:p>
    <w:p w:rsidR="00000000" w:rsidRPr="00C56ABE" w:rsidP="00C56ABE">
      <w:pPr>
        <w:pStyle w:val="AllowPageBreak"/>
      </w:pPr>
    </w:p>
    <w:p w:rsidR="00000000" w:rsidRPr="00C56ABE" w:rsidP="00C56ABE">
      <w:pPr>
        <w:pStyle w:val="Heading1"/>
      </w:pPr>
      <w:bookmarkStart w:id="3" w:name="O_136937"/>
      <w:bookmarkEnd w:id="3"/>
      <w:r w:rsidRPr="00C56ABE">
        <w:t>Application of the Unit</w:t>
      </w:r>
    </w:p>
    <w:tbl>
      <w:tblPr>
        <w:tblW w:w="0" w:type="auto"/>
        <w:tblLayout w:type="fixed"/>
        <w:tblCellMar>
          <w:left w:w="62" w:type="dxa"/>
          <w:right w:w="62" w:type="dxa"/>
        </w:tblCellMar>
        <w:tblLook w:val="0000"/>
      </w:tblPr>
      <w:tblGrid>
        <w:gridCol w:w="2836"/>
        <w:gridCol w:w="6344"/>
      </w:tblGrid>
      <w:tr w:rsidTr="00FA555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t>This unit applies to funeral home staff members who may or may not be embalmers and involves working autonomously with a reasonable level of responsibility.</w:t>
            </w:r>
          </w:p>
        </w:tc>
      </w:tr>
      <w:tr w:rsidTr="00FA55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56ABE" w:rsidP="00C56ABE">
            <w:pPr>
              <w:pStyle w:val="BodyText"/>
            </w:pPr>
          </w:p>
        </w:tc>
      </w:tr>
    </w:tbl>
    <w:p w:rsidR="00000000" w:rsidRPr="00C56ABE" w:rsidP="00C56ABE">
      <w:pPr>
        <w:pStyle w:val="BodyText"/>
      </w:pPr>
    </w:p>
    <w:p w:rsidR="00000000" w:rsidRPr="00C56ABE" w:rsidP="00C56ABE">
      <w:pPr>
        <w:pStyle w:val="AllowPageBreak"/>
      </w:pPr>
    </w:p>
    <w:p w:rsidR="00000000" w:rsidRPr="00C56ABE" w:rsidP="00C56ABE">
      <w:pPr>
        <w:pStyle w:val="Heading1"/>
      </w:pPr>
      <w:bookmarkStart w:id="4" w:name="O_136938"/>
      <w:bookmarkEnd w:id="4"/>
      <w:r w:rsidRPr="00C56ABE">
        <w:t>Licensing/Regulatory Information</w:t>
      </w:r>
    </w:p>
    <w:p w:rsidR="00000000" w:rsidRPr="00C56ABE" w:rsidP="00C56ABE">
      <w:pPr>
        <w:pStyle w:val="BodyText"/>
      </w:pPr>
      <w:r w:rsidRPr="00C56ABE">
        <w:t>Not applicable.</w:t>
      </w:r>
    </w:p>
    <w:p w:rsidR="00000000" w:rsidRPr="00C56ABE" w:rsidP="00C56ABE">
      <w:pPr>
        <w:pStyle w:val="AllowPageBreak"/>
      </w:pPr>
    </w:p>
    <w:p w:rsidR="00000000" w:rsidRPr="00C56ABE" w:rsidP="00C56ABE">
      <w:pPr>
        <w:pStyle w:val="Heading1"/>
      </w:pPr>
      <w:bookmarkStart w:id="5" w:name="O_136940"/>
      <w:bookmarkEnd w:id="5"/>
      <w:r w:rsidRPr="00C56ABE">
        <w:t>Pre-Requisites</w:t>
      </w:r>
    </w:p>
    <w:tbl>
      <w:tblPr>
        <w:tblW w:w="0" w:type="auto"/>
        <w:tblLayout w:type="fixed"/>
        <w:tblCellMar>
          <w:left w:w="62" w:type="dxa"/>
          <w:right w:w="62" w:type="dxa"/>
        </w:tblCellMar>
        <w:tblLook w:val="0000"/>
      </w:tblPr>
      <w:tblGrid>
        <w:gridCol w:w="2836"/>
        <w:gridCol w:w="6344"/>
      </w:tblGrid>
      <w:tr w:rsidTr="00FA555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t>Nil</w:t>
            </w:r>
          </w:p>
        </w:tc>
      </w:tr>
      <w:tr w:rsidTr="00FA55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56ABE" w:rsidP="00C56ABE">
            <w:pPr>
              <w:pStyle w:val="BodyText"/>
            </w:pPr>
          </w:p>
        </w:tc>
      </w:tr>
    </w:tbl>
    <w:p w:rsidR="00000000" w:rsidRPr="00C56ABE" w:rsidP="00C56ABE">
      <w:pPr>
        <w:pStyle w:val="BodyText"/>
      </w:pPr>
    </w:p>
    <w:p w:rsidR="00000000" w:rsidRPr="00C56ABE" w:rsidP="00C56ABE">
      <w:pPr>
        <w:pStyle w:val="AllowPageBreak"/>
      </w:pPr>
    </w:p>
    <w:p w:rsidR="00000000" w:rsidRPr="00C56ABE" w:rsidP="00C56ABE">
      <w:pPr>
        <w:pStyle w:val="Heading1"/>
      </w:pPr>
      <w:bookmarkStart w:id="6" w:name="O_136939"/>
      <w:bookmarkEnd w:id="6"/>
      <w:r w:rsidRPr="00C56ABE">
        <w:t>Employability Skills Information</w:t>
      </w:r>
    </w:p>
    <w:tbl>
      <w:tblPr>
        <w:tblW w:w="0" w:type="auto"/>
        <w:tblLayout w:type="fixed"/>
        <w:tblCellMar>
          <w:left w:w="62" w:type="dxa"/>
          <w:right w:w="62" w:type="dxa"/>
        </w:tblCellMar>
        <w:tblLook w:val="0000"/>
      </w:tblPr>
      <w:tblGrid>
        <w:gridCol w:w="2836"/>
        <w:gridCol w:w="6344"/>
      </w:tblGrid>
      <w:tr w:rsidTr="00FA555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t>This unit contains employability skills.</w:t>
            </w:r>
          </w:p>
        </w:tc>
      </w:tr>
      <w:tr w:rsidTr="00FA55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56ABE" w:rsidP="00C56ABE">
            <w:pPr>
              <w:pStyle w:val="BodyText"/>
            </w:pPr>
          </w:p>
        </w:tc>
      </w:tr>
    </w:tbl>
    <w:p w:rsidR="00000000" w:rsidRPr="00C56ABE" w:rsidP="00C56ABE">
      <w:pPr>
        <w:pStyle w:val="BodyText"/>
      </w:pPr>
    </w:p>
    <w:p w:rsidR="00000000" w:rsidRPr="00C56ABE" w:rsidP="00C56ABE">
      <w:pPr>
        <w:pStyle w:val="AllowPageBreak"/>
      </w:pPr>
    </w:p>
    <w:p w:rsidR="00000000" w:rsidRPr="00C56ABE" w:rsidP="00C56ABE">
      <w:pPr>
        <w:pStyle w:val="Heading1"/>
      </w:pPr>
      <w:bookmarkStart w:id="7" w:name="O_136941"/>
      <w:bookmarkEnd w:id="7"/>
      <w:r w:rsidRPr="00C56ABE">
        <w:t>Elements and Performance Criteria Pre-Content</w:t>
      </w:r>
    </w:p>
    <w:tbl>
      <w:tblPr>
        <w:tblW w:w="0" w:type="auto"/>
        <w:tblLayout w:type="fixed"/>
        <w:tblCellMar>
          <w:left w:w="62" w:type="dxa"/>
          <w:right w:w="62" w:type="dxa"/>
        </w:tblCellMar>
        <w:tblLook w:val="0000"/>
      </w:tblPr>
      <w:tblGrid>
        <w:gridCol w:w="2836"/>
        <w:gridCol w:w="6344"/>
      </w:tblGrid>
      <w:tr w:rsidTr="00FA55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t>Elements describe the e</w:t>
            </w:r>
            <w:r w:rsidRPr="00C56ABE">
              <w:t>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56ABE" w:rsidP="00C56ABE">
            <w:pPr>
              <w:pStyle w:val="BodyText"/>
            </w:pPr>
            <w:r w:rsidRPr="00C56ABE">
              <w:t>Performance criteria describe the required performance needed to demonstrate achievement of the element. Where bold italicised text is used, further information is detailed in the required skills and knowledge and</w:t>
            </w:r>
            <w:r w:rsidRPr="00C56ABE">
              <w:t>/or the range statement. Assessment of performance is to be consistent with the evidence guide.</w:t>
            </w:r>
          </w:p>
        </w:tc>
      </w:tr>
    </w:tbl>
    <w:p w:rsidR="00000000" w:rsidRPr="00C56ABE" w:rsidP="00C56ABE">
      <w:pPr>
        <w:pStyle w:val="BodyText"/>
      </w:pPr>
    </w:p>
    <w:p w:rsidR="00000000" w:rsidRPr="00C56ABE" w:rsidP="00C56ABE">
      <w:pPr>
        <w:pStyle w:val="AllowPageBreak"/>
      </w:pPr>
    </w:p>
    <w:p w:rsidR="00000000" w:rsidRPr="00C56ABE" w:rsidP="00C56ABE">
      <w:pPr>
        <w:pStyle w:val="Heading1"/>
      </w:pPr>
      <w:bookmarkStart w:id="8" w:name="O_136942"/>
      <w:bookmarkEnd w:id="8"/>
      <w:r w:rsidRPr="00C56AB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A555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56ABE" w:rsidP="00C56ABE">
            <w:pPr>
              <w:pStyle w:val="List"/>
            </w:pPr>
            <w:r w:rsidRPr="00C56AB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rPr>
                <w:rStyle w:val="SpecialBold"/>
              </w:rPr>
              <w:t>PERFORMANCE CRITERIA</w:t>
            </w:r>
          </w:p>
        </w:tc>
      </w:tr>
      <w:tr w:rsidTr="00FA5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1</w:t>
            </w:r>
          </w:p>
        </w:tc>
        <w:tc>
          <w:tcPr>
            <w:tcW w:w="2410" w:type="dxa"/>
            <w:vMerge w:val="restart"/>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Prepare to encoffin the deceased person.</w:t>
            </w: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1.1</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 xml:space="preserve">Identify and prepare </w:t>
            </w:r>
            <w:r w:rsidRPr="00C56ABE">
              <w:rPr>
                <w:rStyle w:val="BoldandItalics"/>
              </w:rPr>
              <w:t>encoffining area</w:t>
            </w:r>
            <w:r w:rsidRPr="00C56ABE">
              <w:t xml:space="preserve"> and appropriate </w:t>
            </w:r>
            <w:r w:rsidRPr="00C56ABE">
              <w:rPr>
                <w:rStyle w:val="BoldandItalics"/>
              </w:rPr>
              <w:t>instruments and equipment</w:t>
            </w:r>
            <w:r w:rsidRPr="00C56ABE">
              <w:t xml:space="preserve"> according to </w:t>
            </w:r>
            <w:r w:rsidRPr="00C56ABE">
              <w:rPr>
                <w:rStyle w:val="BoldandItalics"/>
              </w:rPr>
              <w:t>workplace policies and procedures</w:t>
            </w:r>
            <w:r w:rsidRPr="00C56ABE">
              <w:t xml:space="preserve">, and </w:t>
            </w:r>
            <w:r w:rsidRPr="00C56ABE">
              <w:rPr>
                <w:rStyle w:val="BoldandItalics"/>
              </w:rPr>
              <w:t>relevant legislation</w:t>
            </w:r>
            <w:r w:rsidRPr="00C56ABE">
              <w:t>.</w:t>
            </w:r>
          </w:p>
        </w:tc>
      </w:tr>
      <w:tr w:rsidTr="00FA5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1.2</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 xml:space="preserve">Prepare and use </w:t>
            </w:r>
            <w:r w:rsidRPr="00C56ABE">
              <w:rPr>
                <w:rStyle w:val="BoldandItalics"/>
              </w:rPr>
              <w:t>personal protective equipment</w:t>
            </w:r>
            <w:r w:rsidRPr="00C56ABE">
              <w:t xml:space="preserve"> according to workplace policies and procedures, and relevant legislati</w:t>
            </w:r>
            <w:r w:rsidRPr="00C56ABE">
              <w:t>on.</w:t>
            </w:r>
          </w:p>
        </w:tc>
      </w:tr>
      <w:tr w:rsidTr="00FA5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1.3</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Identify correct coffin or casket and check for serviceability and correct preparation.</w:t>
            </w:r>
          </w:p>
        </w:tc>
      </w:tr>
      <w:tr w:rsidTr="00FA5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1.4</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 xml:space="preserve">Identify and assess </w:t>
            </w:r>
            <w:r w:rsidRPr="00C56ABE">
              <w:rPr>
                <w:rStyle w:val="BoldandItalics"/>
              </w:rPr>
              <w:t>considerations for encoffining</w:t>
            </w:r>
            <w:r w:rsidRPr="00C56ABE">
              <w:t xml:space="preserve"> the deceased person.</w:t>
            </w:r>
          </w:p>
        </w:tc>
      </w:tr>
      <w:tr w:rsidTr="00FA5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1.5</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Check identity of the deceased person against nameplate and encoffining instructions.</w:t>
            </w:r>
          </w:p>
        </w:tc>
      </w:tr>
      <w:tr w:rsidTr="00FA5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2</w:t>
            </w:r>
          </w:p>
        </w:tc>
        <w:tc>
          <w:tcPr>
            <w:tcW w:w="2410" w:type="dxa"/>
            <w:vMerge w:val="restart"/>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Encoffin the deceased person.</w:t>
            </w: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2.1</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 xml:space="preserve">Apply </w:t>
            </w:r>
            <w:r w:rsidRPr="00C56ABE">
              <w:rPr>
                <w:rStyle w:val="BoldandItalics"/>
              </w:rPr>
              <w:t>manual handling procedures</w:t>
            </w:r>
            <w:r w:rsidRPr="00C56ABE">
              <w:t xml:space="preserve"> to lift the deceased person into coffin or casket.</w:t>
            </w:r>
          </w:p>
        </w:tc>
      </w:tr>
      <w:tr w:rsidTr="00FA5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2.2</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 xml:space="preserve">Arrange the deceased person in coffin or casket according to </w:t>
            </w:r>
            <w:r w:rsidRPr="00C56ABE">
              <w:rPr>
                <w:rStyle w:val="BoldandItalics"/>
              </w:rPr>
              <w:t>work instructions</w:t>
            </w:r>
            <w:r w:rsidRPr="00C56ABE">
              <w:t>.</w:t>
            </w:r>
          </w:p>
        </w:tc>
      </w:tr>
      <w:tr w:rsidTr="00FA5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2.3</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Undertake final check of presentation and arrangement of the deceased person and make adjustments as required.</w:t>
            </w:r>
          </w:p>
        </w:tc>
      </w:tr>
      <w:tr w:rsidTr="00FA5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2.4</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Seal or close coffin or casket according to work instructions and customise with mementos, special handles or accessories as required.</w:t>
            </w:r>
          </w:p>
        </w:tc>
      </w:tr>
      <w:tr w:rsidTr="00FA5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2.5</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Secure nameplate and trimming accessories and undertake final check for presentation and accuracy.</w:t>
            </w:r>
          </w:p>
        </w:tc>
      </w:tr>
      <w:tr w:rsidTr="00FA5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3</w:t>
            </w:r>
          </w:p>
        </w:tc>
        <w:tc>
          <w:tcPr>
            <w:tcW w:w="2410" w:type="dxa"/>
            <w:vMerge w:val="restart"/>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Perform engraving.</w:t>
            </w: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3.1</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 xml:space="preserve">Identify </w:t>
            </w:r>
            <w:r w:rsidRPr="00C56ABE">
              <w:rPr>
                <w:rStyle w:val="BoldandItalics"/>
              </w:rPr>
              <w:t>engraving requirements</w:t>
            </w:r>
            <w:r w:rsidRPr="00C56ABE">
              <w:t xml:space="preserve"> according to workplace policies and procedures.</w:t>
            </w:r>
          </w:p>
        </w:tc>
      </w:tr>
      <w:tr w:rsidTr="00FA5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3.2</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 xml:space="preserve">Select and prepare appropriate </w:t>
            </w:r>
            <w:r w:rsidRPr="00C56ABE">
              <w:rPr>
                <w:rStyle w:val="BoldandItalics"/>
              </w:rPr>
              <w:t>engraving tools and equipment</w:t>
            </w:r>
            <w:r w:rsidRPr="00C56ABE">
              <w:t xml:space="preserve"> according to job requirements, workplace policies and procedures, and relevant legisl</w:t>
            </w:r>
            <w:r w:rsidRPr="00C56ABE">
              <w:t>ation.</w:t>
            </w:r>
          </w:p>
        </w:tc>
      </w:tr>
      <w:tr w:rsidTr="00FA5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3.3</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 xml:space="preserve">Select item to be engraved and prepare </w:t>
            </w:r>
            <w:r w:rsidRPr="00C56ABE">
              <w:rPr>
                <w:rStyle w:val="BoldandItalics"/>
              </w:rPr>
              <w:t>engraving surface</w:t>
            </w:r>
            <w:r w:rsidRPr="00C56ABE">
              <w:t xml:space="preserve"> for setting out process.</w:t>
            </w:r>
          </w:p>
        </w:tc>
      </w:tr>
      <w:tr w:rsidTr="00FA5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3.4</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Select appropriate fonts and lettering set out and transfer to engraving surface.</w:t>
            </w:r>
          </w:p>
        </w:tc>
      </w:tr>
      <w:tr w:rsidTr="00FA5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3.5</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 xml:space="preserve">Engrave </w:t>
            </w:r>
            <w:r w:rsidRPr="00C56ABE">
              <w:rPr>
                <w:rStyle w:val="BoldandItalics"/>
              </w:rPr>
              <w:t>lettering</w:t>
            </w:r>
            <w:r w:rsidRPr="00C56ABE">
              <w:t xml:space="preserve"> and decorative ornamental work to set </w:t>
            </w:r>
            <w:r w:rsidRPr="00C56ABE">
              <w:t xml:space="preserve">out design according to job requirements. </w:t>
            </w:r>
          </w:p>
        </w:tc>
      </w:tr>
      <w:tr w:rsidTr="00FA5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4</w:t>
            </w:r>
          </w:p>
        </w:tc>
        <w:tc>
          <w:tcPr>
            <w:tcW w:w="2410" w:type="dxa"/>
            <w:vMerge w:val="restart"/>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Clean up.</w:t>
            </w: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4.1</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Clean engraving surface according to workplace policies and procedures.</w:t>
            </w:r>
          </w:p>
        </w:tc>
      </w:tr>
      <w:tr w:rsidTr="00FA5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4.2</w:t>
            </w:r>
          </w:p>
        </w:tc>
        <w:tc>
          <w:tcPr>
            <w:tcW w:w="577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Dispose of waste material according to workplace policies and procedures.</w:t>
            </w:r>
          </w:p>
        </w:tc>
      </w:tr>
      <w:tr w:rsidTr="00FA5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56ABE">
            <w:pPr>
              <w:pStyle w:val="List"/>
              <w:rPr>
                <w:lang w:val="en-NZ"/>
              </w:rPr>
            </w:pPr>
            <w:r w:rsidRPr="00C56ABE">
              <w:t>4.3</w:t>
            </w:r>
          </w:p>
        </w:tc>
        <w:tc>
          <w:tcPr>
            <w:tcW w:w="5777" w:type="dxa"/>
            <w:tcBorders>
              <w:top w:val="nil"/>
              <w:left w:val="nil"/>
              <w:bottom w:val="nil"/>
              <w:right w:val="nil"/>
            </w:tcBorders>
            <w:tcMar>
              <w:top w:w="0" w:type="dxa"/>
              <w:left w:w="62" w:type="dxa"/>
              <w:bottom w:w="0" w:type="dxa"/>
              <w:right w:w="62" w:type="dxa"/>
            </w:tcMar>
          </w:tcPr>
          <w:p w:rsidR="00000000" w:rsidRPr="00C56ABE" w:rsidP="00C56ABE">
            <w:pPr>
              <w:pStyle w:val="List"/>
            </w:pPr>
            <w:r w:rsidRPr="00C56ABE">
              <w:t>Clean and store tools and equipment according to workplace policies and procedures.</w:t>
            </w:r>
          </w:p>
        </w:tc>
      </w:tr>
    </w:tbl>
    <w:p w:rsidR="00000000" w:rsidRPr="00C56ABE" w:rsidP="00C56ABE">
      <w:pPr>
        <w:pStyle w:val="BodyText"/>
      </w:pPr>
    </w:p>
    <w:p w:rsidR="00000000" w:rsidRPr="00C56ABE" w:rsidP="00C56ABE">
      <w:pPr>
        <w:pStyle w:val="AllowPageBreak"/>
      </w:pPr>
    </w:p>
    <w:p w:rsidR="00000000" w:rsidRPr="00C56ABE" w:rsidP="00C56ABE">
      <w:pPr>
        <w:pStyle w:val="Heading1"/>
      </w:pPr>
      <w:bookmarkStart w:id="9" w:name="O_136943"/>
      <w:bookmarkEnd w:id="9"/>
      <w:r w:rsidRPr="00C56ABE">
        <w:t>Required Skills and Knowledge</w:t>
      </w:r>
    </w:p>
    <w:tbl>
      <w:tblPr>
        <w:tblW w:w="0" w:type="auto"/>
        <w:tblLayout w:type="fixed"/>
        <w:tblCellMar>
          <w:left w:w="62" w:type="dxa"/>
          <w:right w:w="62" w:type="dxa"/>
        </w:tblCellMar>
        <w:tblLook w:val="0000"/>
      </w:tblPr>
      <w:tblGrid>
        <w:gridCol w:w="9180"/>
      </w:tblGrid>
      <w:tr w:rsidTr="00FA555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SpecialBold"/>
              </w:rPr>
              <w:t>REQUIRED SKILLS AND KNOWLEDGE</w:t>
            </w:r>
          </w:p>
        </w:tc>
      </w:tr>
      <w:tr w:rsidTr="00FA555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t>This section describes the skills and knowledge required for this unit.</w:t>
            </w:r>
          </w:p>
        </w:tc>
      </w:tr>
      <w:tr w:rsidTr="00FA555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56ABE" w:rsidP="00C56ABE">
            <w:pPr>
              <w:pStyle w:val="BodyText"/>
            </w:pPr>
            <w:r w:rsidRPr="00C56ABE">
              <w:rPr>
                <w:rStyle w:val="SpecialBold"/>
              </w:rPr>
              <w:t>Required skills</w:t>
            </w:r>
            <w:r w:rsidRPr="00C56ABE">
              <w:t xml:space="preserve"> </w:t>
            </w:r>
          </w:p>
          <w:p w:rsidR="00000000" w:rsidRPr="00C56ABE" w:rsidP="00C56ABE">
            <w:pPr>
              <w:pStyle w:val="ListBullet"/>
            </w:pPr>
            <w:r w:rsidRPr="00C56ABE">
              <w:t>safe manual handling techniques</w:t>
            </w:r>
          </w:p>
          <w:p w:rsidR="00000000" w:rsidRPr="00C56ABE" w:rsidP="00C56ABE">
            <w:pPr>
              <w:pStyle w:val="ListBullet"/>
            </w:pPr>
            <w:r w:rsidRPr="00C56ABE">
              <w:t>literacy and numeracy skills to interpret work instructions and engraving requirements, verify identity of the deceased person and check nameplates</w:t>
            </w:r>
          </w:p>
          <w:p w:rsidR="00000000" w:rsidP="00C56ABE">
            <w:pPr>
              <w:pStyle w:val="ListBullet"/>
              <w:rPr>
                <w:lang w:val="en-NZ"/>
              </w:rPr>
            </w:pPr>
            <w:r w:rsidRPr="00C56ABE">
              <w:t>fine motor skills to manipulate engraving equipment to meet job requirement</w:t>
            </w:r>
            <w:r w:rsidRPr="00C56ABE">
              <w:t>s.</w:t>
            </w:r>
          </w:p>
        </w:tc>
      </w:tr>
      <w:tr w:rsidTr="00FA555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56ABE" w:rsidP="00C56ABE">
            <w:pPr>
              <w:pStyle w:val="BodyText"/>
            </w:pPr>
            <w:r w:rsidRPr="00C56ABE">
              <w:rPr>
                <w:rStyle w:val="SpecialBold"/>
              </w:rPr>
              <w:t>Required knowledge</w:t>
            </w:r>
          </w:p>
          <w:p w:rsidR="00000000" w:rsidRPr="00C56ABE" w:rsidP="00C56ABE">
            <w:pPr>
              <w:pStyle w:val="ListBullet"/>
            </w:pPr>
            <w:r w:rsidRPr="00C56ABE">
              <w:t>legislative requirements relating to safe completion of encoffining procedures</w:t>
            </w:r>
          </w:p>
          <w:p w:rsidR="00000000" w:rsidRPr="00C56ABE" w:rsidP="00C56ABE">
            <w:pPr>
              <w:pStyle w:val="ListBullet"/>
            </w:pPr>
            <w:r w:rsidRPr="00C56ABE">
              <w:t>broad working knowledge of relevant federal, state or territory, and local government legislation and regulations relating to OHS, infection control an</w:t>
            </w:r>
            <w:r w:rsidRPr="00C56ABE">
              <w:t>d handling human remains</w:t>
            </w:r>
          </w:p>
          <w:p w:rsidR="00000000" w:rsidRPr="00C56ABE" w:rsidP="00C56ABE">
            <w:pPr>
              <w:pStyle w:val="ListBullet"/>
            </w:pPr>
            <w:r w:rsidRPr="00C56ABE">
              <w:t xml:space="preserve">use and maintenance of personal protective equipment </w:t>
            </w:r>
          </w:p>
          <w:p w:rsidR="00000000" w:rsidRPr="00C56ABE" w:rsidP="00C56ABE">
            <w:pPr>
              <w:pStyle w:val="ListBullet"/>
            </w:pPr>
            <w:r w:rsidRPr="00C56ABE">
              <w:t>funeral services industry parameters and protocols when dealing with the deceased</w:t>
            </w:r>
          </w:p>
          <w:p w:rsidR="00000000" w:rsidRPr="00C56ABE" w:rsidP="00C56ABE">
            <w:pPr>
              <w:pStyle w:val="ListBullet"/>
            </w:pPr>
            <w:r w:rsidRPr="00C56ABE">
              <w:t>traditional and contemporary font styles and ornamental designs</w:t>
            </w:r>
          </w:p>
          <w:p w:rsidR="00000000" w:rsidRPr="00C56ABE" w:rsidP="00C56ABE">
            <w:pPr>
              <w:pStyle w:val="ListBullet"/>
            </w:pPr>
            <w:r w:rsidRPr="00C56ABE">
              <w:t>workplace policies and procedures regarding safe performance of engraving work.</w:t>
            </w:r>
          </w:p>
        </w:tc>
      </w:tr>
    </w:tbl>
    <w:p w:rsidR="00FA5556" w:rsidP="00C56ABE">
      <w:pPr>
        <w:pStyle w:val="BodyText"/>
      </w:pPr>
    </w:p>
    <w:p w:rsidR="00FA5556" w:rsidP="00C56ABE">
      <w:pPr>
        <w:pStyle w:val="BodyText"/>
      </w:pPr>
    </w:p>
    <w:p w:rsidR="00000000" w:rsidRPr="00C56ABE" w:rsidP="00C56ABE">
      <w:pPr>
        <w:pStyle w:val="Heading1"/>
      </w:pPr>
      <w:bookmarkStart w:id="10" w:name="O_136944"/>
      <w:bookmarkEnd w:id="10"/>
      <w:r w:rsidRPr="00C56ABE">
        <w:t>Evidence Guide</w:t>
      </w:r>
    </w:p>
    <w:tbl>
      <w:tblPr>
        <w:tblW w:w="0" w:type="auto"/>
        <w:tblLayout w:type="fixed"/>
        <w:tblCellMar>
          <w:left w:w="62" w:type="dxa"/>
          <w:right w:w="62" w:type="dxa"/>
        </w:tblCellMar>
        <w:tblLook w:val="0000"/>
      </w:tblPr>
      <w:tblGrid>
        <w:gridCol w:w="3345"/>
        <w:gridCol w:w="5835"/>
      </w:tblGrid>
      <w:tr w:rsidTr="00FA555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SpecialBold"/>
              </w:rPr>
              <w:t>EVIDENCE GUIDE</w:t>
            </w:r>
          </w:p>
        </w:tc>
      </w:tr>
      <w:tr w:rsidTr="00FA555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t>The evidence guide provides advice on assessment and must be read in conjunction with the performance criteria, required skills and knowledge, range statement and the Assessment Guidelines for the Training Package.</w:t>
            </w:r>
          </w:p>
        </w:tc>
      </w:tr>
      <w:tr w:rsidTr="00FA555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SpecialBold"/>
              </w:rPr>
              <w:t xml:space="preserve">Critical aspects for assessment and </w:t>
            </w:r>
            <w:r w:rsidRPr="00C56ABE">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BodyText"/>
            </w:pPr>
            <w:r w:rsidRPr="00C56ABE">
              <w:t>Evidence of the following is essential:</w:t>
            </w:r>
          </w:p>
          <w:p w:rsidR="00000000" w:rsidRPr="00C56ABE" w:rsidP="00C56ABE">
            <w:pPr>
              <w:pStyle w:val="ListBullet"/>
            </w:pPr>
            <w:r w:rsidRPr="00C56ABE">
              <w:t>ability to correctly identify  and encoffin a deceased person safely and appropriately according to OHS procedures and work instructions</w:t>
            </w:r>
          </w:p>
          <w:p w:rsidR="00000000" w:rsidRPr="00C56ABE" w:rsidP="00C56ABE">
            <w:pPr>
              <w:pStyle w:val="ListBullet"/>
            </w:pPr>
            <w:r w:rsidRPr="00C56ABE">
              <w:t>observation of social, cultural or religious requirements</w:t>
            </w:r>
          </w:p>
          <w:p w:rsidR="00000000" w:rsidRPr="00C56ABE" w:rsidP="00C56ABE">
            <w:pPr>
              <w:pStyle w:val="ListBullet"/>
            </w:pPr>
            <w:r w:rsidRPr="00C56ABE">
              <w:t>ability to accurately interpret and complete engraving requirements, including lettering and ornamentation</w:t>
            </w:r>
          </w:p>
          <w:p w:rsidR="00000000" w:rsidRPr="00C56ABE" w:rsidP="00C56ABE">
            <w:pPr>
              <w:pStyle w:val="ListBullet"/>
            </w:pPr>
            <w:r w:rsidRPr="00C56ABE">
              <w:t>safe manual handling techniques</w:t>
            </w:r>
          </w:p>
          <w:p w:rsidR="00000000" w:rsidP="00C56ABE">
            <w:pPr>
              <w:pStyle w:val="ListBullet"/>
              <w:rPr>
                <w:lang w:val="en-NZ"/>
              </w:rPr>
            </w:pPr>
            <w:r w:rsidRPr="00C56ABE">
              <w:t>encoffin deceased persons on multiple occasions to ensure c</w:t>
            </w:r>
            <w:r w:rsidRPr="00C56ABE">
              <w:t>onsistency of performance and ability to respond to different situations.</w:t>
            </w: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BodyText"/>
            </w:pPr>
            <w:r w:rsidRPr="00C56ABE">
              <w:t>Assessment must ensure:</w:t>
            </w:r>
          </w:p>
          <w:p w:rsidR="00000000" w:rsidRPr="00C56ABE" w:rsidP="00C56ABE">
            <w:pPr>
              <w:pStyle w:val="ListBullet"/>
            </w:pPr>
            <w:r w:rsidRPr="00C56ABE">
              <w:t>demonstration of skills in a facility where deceased persons can be encoffined, most commonly a mortuary</w:t>
            </w:r>
          </w:p>
          <w:p w:rsidR="00000000" w:rsidRPr="00C56ABE" w:rsidP="00C56ABE">
            <w:pPr>
              <w:pStyle w:val="ListBullet"/>
            </w:pPr>
            <w:r w:rsidRPr="00C56ABE">
              <w:t>access to deceased bodies</w:t>
            </w:r>
          </w:p>
          <w:p w:rsidR="00000000" w:rsidRPr="00C56ABE" w:rsidP="00C56ABE">
            <w:pPr>
              <w:pStyle w:val="ListBullet"/>
            </w:pPr>
            <w:r w:rsidRPr="00C56ABE">
              <w:t>access to coffins or caskets</w:t>
            </w:r>
          </w:p>
          <w:p w:rsidR="00000000" w:rsidRPr="00C56ABE" w:rsidP="00C56ABE">
            <w:pPr>
              <w:pStyle w:val="ListBullet"/>
            </w:pPr>
            <w:r w:rsidRPr="00C56ABE">
              <w:t>access to appropriate encoffining equipment, including personal protective equipment</w:t>
            </w:r>
          </w:p>
          <w:p w:rsidR="00000000" w:rsidRPr="00C56ABE" w:rsidP="00C56ABE">
            <w:pPr>
              <w:pStyle w:val="ListBullet"/>
            </w:pPr>
            <w:r w:rsidRPr="00C56ABE">
              <w:t>access to client brief for engraving</w:t>
            </w:r>
          </w:p>
          <w:p w:rsidR="00000000" w:rsidRPr="00C56ABE" w:rsidP="00C56ABE">
            <w:pPr>
              <w:pStyle w:val="ListBullet"/>
            </w:pPr>
            <w:r w:rsidRPr="00C56ABE">
              <w:t>access to nameplates to be engraved</w:t>
            </w:r>
          </w:p>
          <w:p w:rsidR="00000000" w:rsidP="00C56ABE">
            <w:pPr>
              <w:pStyle w:val="ListBullet"/>
              <w:rPr>
                <w:lang w:val="en-NZ"/>
              </w:rPr>
            </w:pPr>
            <w:r w:rsidRPr="00C56ABE">
              <w:t>access to engraving tools and equipment, including personal protective equipment.</w:t>
            </w: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BodyText"/>
            </w:pPr>
            <w:r w:rsidRPr="00C56ABE">
              <w:t xml:space="preserve">A range of assessment methods should be used to assess practical skills and knowledge. The following examples are appropriate for this unit: </w:t>
            </w:r>
          </w:p>
          <w:p w:rsidR="00000000" w:rsidRPr="00C56ABE" w:rsidP="00C56ABE">
            <w:pPr>
              <w:pStyle w:val="ListBullet"/>
            </w:pPr>
            <w:r w:rsidRPr="00C56ABE">
              <w:t>obser</w:t>
            </w:r>
            <w:r w:rsidRPr="00C56ABE">
              <w:t>vation of candidate identifying and applying all preparatory procedures, applying safe manual handling and infection control practices, and correctly encoffining the deceased person according to work instructions</w:t>
            </w:r>
          </w:p>
          <w:p w:rsidR="00000000" w:rsidRPr="00C56ABE" w:rsidP="00C56ABE">
            <w:pPr>
              <w:pStyle w:val="ListBullet"/>
            </w:pPr>
            <w:r w:rsidRPr="00C56ABE">
              <w:t>observation of candidate selecting, prepari</w:t>
            </w:r>
            <w:r w:rsidRPr="00C56ABE">
              <w:t>ng, engraving and presenting a range of funeral items</w:t>
            </w:r>
          </w:p>
          <w:p w:rsidR="00000000" w:rsidRPr="00C56ABE" w:rsidP="00C56ABE">
            <w:pPr>
              <w:pStyle w:val="ListBullet"/>
            </w:pPr>
            <w:r w:rsidRPr="00C56ABE">
              <w:t>review of completed engraving work</w:t>
            </w:r>
          </w:p>
          <w:p w:rsidR="00000000" w:rsidRPr="00C56ABE" w:rsidP="00C56ABE">
            <w:pPr>
              <w:pStyle w:val="ListBullet"/>
            </w:pPr>
            <w:r w:rsidRPr="00C56ABE">
              <w:t>written or verbal questioning to assess knowledge and understanding of relevant legislative and workplace requirements</w:t>
            </w:r>
          </w:p>
          <w:p w:rsidR="00000000" w:rsidP="00C56ABE">
            <w:pPr>
              <w:pStyle w:val="ListBullet"/>
              <w:rPr>
                <w:lang w:val="en-NZ"/>
              </w:rPr>
            </w:pPr>
            <w:r w:rsidRPr="00C56ABE">
              <w:t>review of portfolios of evidence and third-party</w:t>
            </w:r>
            <w:r w:rsidRPr="00C56ABE">
              <w:t xml:space="preserve"> workplace reports of on-the-job performance by the candidate.</w:t>
            </w: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BodyText"/>
            </w:pPr>
            <w:r w:rsidRPr="00C56ABE">
              <w:t>Holistic assessment with other units relevant to the industry sector, workplace and job role is recommended, for example:</w:t>
            </w:r>
          </w:p>
          <w:p w:rsidR="00000000" w:rsidRPr="00C56ABE" w:rsidP="00C56ABE">
            <w:pPr>
              <w:pStyle w:val="ListBullet"/>
            </w:pPr>
            <w:r w:rsidRPr="00C56ABE">
              <w:t>SIFOHS002A Follow infection and contamination control procedures</w:t>
            </w:r>
          </w:p>
          <w:p w:rsidR="00000000" w:rsidP="00C56ABE">
            <w:pPr>
              <w:pStyle w:val="ListBullet"/>
              <w:rPr>
                <w:lang w:val="en-NZ"/>
              </w:rPr>
            </w:pPr>
            <w:r w:rsidRPr="00C56ABE">
              <w:t>SIFOHS003A Follow mortuary OHS procedures.</w:t>
            </w: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BodyText"/>
            </w:pPr>
            <w:r w:rsidRPr="00C56ABE">
              <w:t>Employability skills embedded in this unit should be assessed holistically with other relevant units that make up the skill set or qualification and in the context of the job role.</w:t>
            </w:r>
          </w:p>
        </w:tc>
      </w:tr>
    </w:tbl>
    <w:p w:rsidR="00FA5556" w:rsidP="00C56ABE">
      <w:pPr>
        <w:pStyle w:val="BodyText"/>
      </w:pPr>
    </w:p>
    <w:p w:rsidR="00FA5556" w:rsidP="00C56ABE">
      <w:pPr>
        <w:pStyle w:val="BodyText"/>
      </w:pPr>
    </w:p>
    <w:p w:rsidR="00000000" w:rsidRPr="00C56ABE" w:rsidP="00C56ABE">
      <w:pPr>
        <w:pStyle w:val="Heading1"/>
      </w:pPr>
      <w:bookmarkStart w:id="11" w:name="O_136945"/>
      <w:bookmarkEnd w:id="11"/>
      <w:r w:rsidRPr="00C56ABE">
        <w:t>Range St</w:t>
      </w:r>
      <w:r w:rsidRPr="00C56ABE">
        <w:t>atement</w:t>
      </w:r>
    </w:p>
    <w:tbl>
      <w:tblPr>
        <w:tblW w:w="0" w:type="auto"/>
        <w:tblLayout w:type="fixed"/>
        <w:tblCellMar>
          <w:left w:w="62" w:type="dxa"/>
          <w:right w:w="62" w:type="dxa"/>
        </w:tblCellMar>
        <w:tblLook w:val="0000"/>
      </w:tblPr>
      <w:tblGrid>
        <w:gridCol w:w="3345"/>
        <w:gridCol w:w="5835"/>
      </w:tblGrid>
      <w:tr w:rsidTr="00FA555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SpecialBold"/>
              </w:rPr>
              <w:t>RANGE STATEMENT</w:t>
            </w:r>
          </w:p>
        </w:tc>
      </w:tr>
      <w:tr w:rsidTr="00FA555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t xml:space="preserve">The range statement relates to the unit of competency as a whole. It allows for different work environments and situations that may affect </w:t>
            </w:r>
            <w:r w:rsidRPr="00C56ABE">
              <w:t>performance. Bold italicised wording, if used in the performance criteria, is detailed below. Essential operating conditions that may be present with training and assessment (depending on the work situation, needs of the candidate, accessibility of the ite</w:t>
            </w:r>
            <w:r w:rsidRPr="00C56ABE">
              <w:t>m, and local industry and regional contexts) may also be included.</w:t>
            </w:r>
          </w:p>
        </w:tc>
      </w:tr>
      <w:tr w:rsidTr="00FA555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BoldandItalics"/>
              </w:rPr>
              <w:t>Encoffining area</w:t>
            </w:r>
            <w:r w:rsidRPr="00C56AB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ListBullet"/>
            </w:pPr>
            <w:r w:rsidRPr="00C56ABE">
              <w:t>tables</w:t>
            </w:r>
          </w:p>
          <w:p w:rsidR="00000000" w:rsidRPr="00C56ABE" w:rsidP="00C56ABE">
            <w:pPr>
              <w:pStyle w:val="ListBullet"/>
            </w:pPr>
            <w:r w:rsidRPr="00C56ABE">
              <w:t>floors</w:t>
            </w:r>
          </w:p>
          <w:p w:rsidR="00000000" w:rsidP="00C56ABE">
            <w:pPr>
              <w:pStyle w:val="ListBullet"/>
              <w:rPr>
                <w:lang w:val="en-NZ"/>
              </w:rPr>
            </w:pPr>
            <w:r w:rsidRPr="00C56ABE">
              <w:t>walls.</w:t>
            </w: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BoldandItalics"/>
              </w:rPr>
              <w:t>Instruments and equipment</w:t>
            </w:r>
            <w:r w:rsidRPr="00C56AB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ListBullet"/>
            </w:pPr>
            <w:r w:rsidRPr="00C56ABE">
              <w:t>personal protective equipment</w:t>
            </w:r>
          </w:p>
          <w:p w:rsidR="00000000" w:rsidRPr="00C56ABE" w:rsidP="00C56ABE">
            <w:pPr>
              <w:pStyle w:val="ListBullet"/>
            </w:pPr>
            <w:r w:rsidRPr="00C56ABE">
              <w:t>embalming trolley</w:t>
            </w:r>
          </w:p>
          <w:p w:rsidR="00000000" w:rsidRPr="00C56ABE" w:rsidP="00C56ABE">
            <w:pPr>
              <w:pStyle w:val="ListBullet"/>
            </w:pPr>
            <w:r w:rsidRPr="00C56ABE">
              <w:t>coffin or casket trolley</w:t>
            </w:r>
          </w:p>
          <w:p w:rsidR="00000000" w:rsidRPr="00C56ABE" w:rsidP="00C56ABE">
            <w:pPr>
              <w:pStyle w:val="ListBullet"/>
            </w:pPr>
            <w:r w:rsidRPr="00C56ABE">
              <w:t>mechanical lifting device</w:t>
            </w:r>
          </w:p>
          <w:p w:rsidR="00000000" w:rsidRPr="00C56ABE" w:rsidP="00C56ABE">
            <w:pPr>
              <w:pStyle w:val="ListBullet"/>
            </w:pPr>
            <w:r w:rsidRPr="00C56ABE">
              <w:t>lifting straps</w:t>
            </w:r>
          </w:p>
          <w:p w:rsidR="00000000" w:rsidRPr="00C56ABE" w:rsidP="00C56ABE">
            <w:pPr>
              <w:pStyle w:val="ListBullet"/>
            </w:pPr>
            <w:r w:rsidRPr="00C56ABE">
              <w:t>coffin or casket</w:t>
            </w:r>
          </w:p>
          <w:p w:rsidR="00000000" w:rsidRPr="00C56ABE" w:rsidP="00C56ABE">
            <w:pPr>
              <w:pStyle w:val="ListBullet"/>
            </w:pPr>
            <w:r w:rsidRPr="00C56ABE">
              <w:t>coffin or casket trim</w:t>
            </w:r>
          </w:p>
          <w:p w:rsidR="00000000" w:rsidRPr="00C56ABE" w:rsidP="00C56ABE">
            <w:pPr>
              <w:pStyle w:val="ListBullet"/>
            </w:pPr>
            <w:r w:rsidRPr="00C56ABE">
              <w:t>staple gun</w:t>
            </w:r>
          </w:p>
          <w:p w:rsidR="00000000" w:rsidRPr="00C56ABE" w:rsidP="00C56ABE">
            <w:pPr>
              <w:pStyle w:val="ListBullet"/>
            </w:pPr>
            <w:r w:rsidRPr="00C56ABE">
              <w:t>shroud</w:t>
            </w:r>
          </w:p>
          <w:p w:rsidR="00000000" w:rsidRPr="00C56ABE" w:rsidP="00C56ABE">
            <w:pPr>
              <w:pStyle w:val="ListBullet"/>
            </w:pPr>
            <w:r w:rsidRPr="00C56ABE">
              <w:t>body covering</w:t>
            </w:r>
          </w:p>
          <w:p w:rsidR="00000000" w:rsidRPr="00C56ABE" w:rsidP="00C56ABE">
            <w:pPr>
              <w:pStyle w:val="ListBullet"/>
            </w:pPr>
            <w:r w:rsidRPr="00C56ABE">
              <w:t>breast shroud</w:t>
            </w:r>
          </w:p>
          <w:p w:rsidR="00000000" w:rsidRPr="00C56ABE" w:rsidP="00C56ABE">
            <w:pPr>
              <w:pStyle w:val="ListBullet"/>
            </w:pPr>
            <w:r w:rsidRPr="00C56ABE">
              <w:t>face covering</w:t>
            </w:r>
          </w:p>
          <w:p w:rsidR="00000000" w:rsidRPr="00C56ABE" w:rsidP="00C56ABE">
            <w:pPr>
              <w:pStyle w:val="ListBullet"/>
            </w:pPr>
            <w:r w:rsidRPr="00C56ABE">
              <w:t>deceased's shoes and clothing</w:t>
            </w:r>
          </w:p>
          <w:p w:rsidR="00000000" w:rsidRPr="00C56ABE" w:rsidP="00C56ABE">
            <w:pPr>
              <w:pStyle w:val="ListBullet"/>
            </w:pPr>
            <w:r w:rsidRPr="00C56ABE">
              <w:t>coffin or casket nameplate</w:t>
            </w:r>
          </w:p>
          <w:p w:rsidR="00000000" w:rsidRPr="00C56ABE" w:rsidP="00C56ABE">
            <w:pPr>
              <w:pStyle w:val="ListBullet"/>
            </w:pPr>
            <w:r w:rsidRPr="00C56ABE">
              <w:t>specialised handles and accessories</w:t>
            </w:r>
          </w:p>
          <w:p w:rsidR="00000000" w:rsidP="00C56ABE">
            <w:pPr>
              <w:pStyle w:val="ListBullet"/>
              <w:rPr>
                <w:lang w:val="en-NZ"/>
              </w:rPr>
            </w:pPr>
            <w:r w:rsidRPr="00C56ABE">
              <w:t>body id</w:t>
            </w:r>
            <w:r w:rsidRPr="00C56ABE">
              <w:t>entification tag.</w:t>
            </w: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BoldandItalics"/>
              </w:rPr>
              <w:t>Workplace policies and procedures</w:t>
            </w:r>
            <w:r w:rsidRPr="00C56AB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ListBullet"/>
            </w:pPr>
            <w:r w:rsidRPr="00C56ABE">
              <w:t>standard operating policies and procedures</w:t>
            </w:r>
          </w:p>
          <w:p w:rsidR="00000000" w:rsidRPr="00C56ABE" w:rsidP="00C56ABE">
            <w:pPr>
              <w:pStyle w:val="ListBullet"/>
            </w:pPr>
            <w:r w:rsidRPr="00C56ABE">
              <w:t>standards and certification requirements</w:t>
            </w:r>
          </w:p>
          <w:p w:rsidR="00000000" w:rsidRPr="00C56ABE" w:rsidP="00C56ABE">
            <w:pPr>
              <w:pStyle w:val="ListBullet"/>
            </w:pPr>
            <w:r w:rsidRPr="00C56ABE">
              <w:t>quality assurance procedures</w:t>
            </w:r>
          </w:p>
          <w:p w:rsidR="00000000" w:rsidRPr="00C56ABE" w:rsidP="00C56ABE">
            <w:pPr>
              <w:pStyle w:val="ListBullet"/>
            </w:pPr>
            <w:r w:rsidRPr="00C56ABE">
              <w:t>OHS procedures</w:t>
            </w:r>
          </w:p>
          <w:p w:rsidR="00000000" w:rsidRPr="00C56ABE" w:rsidP="00C56ABE">
            <w:pPr>
              <w:pStyle w:val="ListBullet"/>
            </w:pPr>
            <w:r w:rsidRPr="00C56ABE">
              <w:t>infection control procedures</w:t>
            </w:r>
          </w:p>
          <w:p w:rsidR="00000000" w:rsidRPr="00C56ABE" w:rsidP="00C56ABE">
            <w:pPr>
              <w:pStyle w:val="ListBullet"/>
            </w:pPr>
            <w:r w:rsidRPr="00C56ABE">
              <w:t>emergency procedures, including fire and accident procedures</w:t>
            </w:r>
          </w:p>
          <w:p w:rsidR="00000000" w:rsidP="00C56ABE">
            <w:pPr>
              <w:pStyle w:val="ListBullet"/>
              <w:rPr>
                <w:lang w:val="en-NZ"/>
              </w:rPr>
            </w:pPr>
            <w:r w:rsidRPr="00C56ABE">
              <w:t>security procedures.</w:t>
            </w: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BoldandItalics"/>
              </w:rPr>
              <w:t>Relevant legislation</w:t>
            </w:r>
            <w:r w:rsidRPr="00C56AB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ListBullet"/>
            </w:pPr>
            <w:r w:rsidRPr="00C56ABE">
              <w:t>OHS</w:t>
            </w:r>
          </w:p>
          <w:p w:rsidR="00000000" w:rsidRPr="00C56ABE" w:rsidP="00C56ABE">
            <w:pPr>
              <w:pStyle w:val="ListBullet"/>
            </w:pPr>
            <w:r w:rsidRPr="00C56ABE">
              <w:t>infection control</w:t>
            </w:r>
          </w:p>
          <w:p w:rsidR="00000000" w:rsidP="00C56ABE">
            <w:pPr>
              <w:pStyle w:val="ListBullet"/>
              <w:rPr>
                <w:lang w:val="en-NZ"/>
              </w:rPr>
            </w:pPr>
            <w:r w:rsidRPr="00C56ABE">
              <w:t>hazardous materials.</w:t>
            </w: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BoldandItalics"/>
              </w:rPr>
              <w:t>Personal protective equipment</w:t>
            </w:r>
            <w:r w:rsidRPr="00C56AB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ListBullet"/>
            </w:pPr>
            <w:r w:rsidRPr="00C56ABE">
              <w:t>disposable gloves</w:t>
            </w:r>
          </w:p>
          <w:p w:rsidR="00000000" w:rsidRPr="00C56ABE" w:rsidP="00C56ABE">
            <w:pPr>
              <w:pStyle w:val="ListBullet"/>
            </w:pPr>
            <w:r w:rsidRPr="00C56ABE">
              <w:t>heavy duty gloves</w:t>
            </w:r>
          </w:p>
          <w:p w:rsidR="00000000" w:rsidRPr="00C56ABE" w:rsidP="00C56ABE">
            <w:pPr>
              <w:pStyle w:val="ListBullet"/>
            </w:pPr>
            <w:r w:rsidRPr="00C56ABE">
              <w:t>barrier gown or suit</w:t>
            </w:r>
          </w:p>
          <w:p w:rsidR="00000000" w:rsidRPr="00C56ABE" w:rsidP="00C56ABE">
            <w:pPr>
              <w:pStyle w:val="ListBullet"/>
            </w:pPr>
            <w:r w:rsidRPr="00C56ABE">
              <w:t>waterproof overshoes</w:t>
            </w:r>
          </w:p>
          <w:p w:rsidR="00000000" w:rsidRPr="00C56ABE" w:rsidP="00C56ABE">
            <w:pPr>
              <w:pStyle w:val="ListBullet"/>
            </w:pPr>
            <w:r w:rsidRPr="00C56ABE">
              <w:t>waterproof aprons</w:t>
            </w:r>
          </w:p>
          <w:p w:rsidR="00000000" w:rsidRPr="00C56ABE" w:rsidP="00C56ABE">
            <w:pPr>
              <w:pStyle w:val="ListBullet"/>
            </w:pPr>
            <w:r w:rsidRPr="00C56ABE">
              <w:t>splash proof masks</w:t>
            </w:r>
          </w:p>
          <w:p w:rsidR="00000000" w:rsidP="00C56ABE">
            <w:pPr>
              <w:pStyle w:val="ListBullet"/>
              <w:rPr>
                <w:lang w:val="en-NZ"/>
              </w:rPr>
            </w:pPr>
            <w:r w:rsidRPr="00C56ABE">
              <w:t>hair cover.</w:t>
            </w: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BoldandItalics"/>
              </w:rPr>
              <w:t>Considerations for encoffining</w:t>
            </w:r>
            <w:r w:rsidRPr="00C56AB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ListBullet"/>
            </w:pPr>
            <w:r w:rsidRPr="00C56ABE">
              <w:t>general body condition</w:t>
            </w:r>
          </w:p>
          <w:p w:rsidR="00000000" w:rsidRPr="00C56ABE" w:rsidP="00C56ABE">
            <w:pPr>
              <w:pStyle w:val="ListBullet"/>
            </w:pPr>
            <w:r w:rsidRPr="00C56ABE">
              <w:t>type of coffin or casket</w:t>
            </w:r>
          </w:p>
          <w:p w:rsidR="00000000" w:rsidRPr="00C56ABE" w:rsidP="00C56ABE">
            <w:pPr>
              <w:pStyle w:val="ListBullet"/>
            </w:pPr>
            <w:r w:rsidRPr="00C56ABE">
              <w:t xml:space="preserve">clothing requirements </w:t>
            </w:r>
          </w:p>
          <w:p w:rsidR="00000000" w:rsidRPr="00C56ABE" w:rsidP="00C56ABE">
            <w:pPr>
              <w:pStyle w:val="ListBullet"/>
            </w:pPr>
            <w:r w:rsidRPr="00C56ABE">
              <w:t>size and weight of the deceased person</w:t>
            </w:r>
          </w:p>
          <w:p w:rsidR="00000000" w:rsidRPr="00C56ABE" w:rsidP="00C56ABE">
            <w:pPr>
              <w:pStyle w:val="ListBullet"/>
            </w:pPr>
            <w:r w:rsidRPr="00C56ABE">
              <w:t>age of the deceased person</w:t>
            </w:r>
          </w:p>
          <w:p w:rsidR="00000000" w:rsidRPr="00C56ABE" w:rsidP="00C56ABE">
            <w:pPr>
              <w:pStyle w:val="ListBullet"/>
            </w:pPr>
            <w:r w:rsidRPr="00C56ABE">
              <w:t>age of viewers</w:t>
            </w:r>
          </w:p>
          <w:p w:rsidR="00000000" w:rsidRPr="00C56ABE" w:rsidP="00C56ABE">
            <w:pPr>
              <w:pStyle w:val="ListBullet"/>
            </w:pPr>
            <w:r w:rsidRPr="00C56ABE">
              <w:t>place of viewing</w:t>
            </w:r>
          </w:p>
          <w:p w:rsidR="00000000" w:rsidP="00C56ABE">
            <w:pPr>
              <w:pStyle w:val="ListBullet"/>
              <w:rPr>
                <w:lang w:val="en-NZ"/>
              </w:rPr>
            </w:pPr>
            <w:r w:rsidRPr="00C56ABE">
              <w:t>full body or partial viewing</w:t>
            </w: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ListBullet"/>
            </w:pPr>
            <w:r w:rsidRPr="00C56ABE">
              <w:t>social, cultural and religious requirements, such as:</w:t>
            </w:r>
          </w:p>
          <w:p w:rsidR="00000000" w:rsidRPr="00C56ABE" w:rsidP="00C56ABE">
            <w:pPr>
              <w:pStyle w:val="ListBullet2"/>
            </w:pPr>
            <w:r w:rsidRPr="00C56ABE">
              <w:t xml:space="preserve">dress standards </w:t>
            </w:r>
          </w:p>
          <w:p w:rsidR="00000000" w:rsidRPr="00C56ABE" w:rsidP="00C56ABE">
            <w:pPr>
              <w:pStyle w:val="ListBullet2"/>
            </w:pPr>
            <w:r w:rsidRPr="00C56ABE">
              <w:t>gender of body preparation personnel</w:t>
            </w:r>
          </w:p>
          <w:p w:rsidR="00000000" w:rsidRPr="00C56ABE" w:rsidP="00C56ABE">
            <w:pPr>
              <w:pStyle w:val="ListBullet2"/>
            </w:pPr>
            <w:r w:rsidRPr="00C56ABE">
              <w:t>time required between death and burial or cremation</w:t>
            </w:r>
          </w:p>
          <w:p w:rsidR="00000000" w:rsidP="00C56ABE">
            <w:pPr>
              <w:pStyle w:val="ListBullet2"/>
              <w:rPr>
                <w:lang w:val="en-NZ"/>
              </w:rPr>
            </w:pPr>
            <w:r w:rsidRPr="00C56ABE">
              <w:t>orientation of the deceased person.</w:t>
            </w: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BoldandItalics"/>
              </w:rPr>
              <w:t>Manual handling procedures</w:t>
            </w:r>
            <w:r w:rsidRPr="00C56AB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ListBullet"/>
            </w:pPr>
            <w:r w:rsidRPr="00C56ABE">
              <w:t>single person lift</w:t>
            </w:r>
          </w:p>
          <w:p w:rsidR="00000000" w:rsidRPr="00C56ABE" w:rsidP="00C56ABE">
            <w:pPr>
              <w:pStyle w:val="ListBullet"/>
            </w:pPr>
            <w:r w:rsidRPr="00C56ABE">
              <w:t>multiple person lift</w:t>
            </w:r>
          </w:p>
          <w:p w:rsidR="00000000" w:rsidRPr="00C56ABE" w:rsidP="00C56ABE">
            <w:pPr>
              <w:pStyle w:val="ListBullet"/>
            </w:pPr>
            <w:r w:rsidRPr="00C56ABE">
              <w:t>assisted with mechanical lifting device</w:t>
            </w:r>
          </w:p>
          <w:p w:rsidR="00000000" w:rsidP="00C56ABE">
            <w:pPr>
              <w:pStyle w:val="ListBullet"/>
              <w:rPr>
                <w:lang w:val="en-NZ"/>
              </w:rPr>
            </w:pPr>
            <w:r w:rsidRPr="00C56ABE">
              <w:t>assisted with manual lifting device.</w:t>
            </w: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BoldandItalics"/>
              </w:rPr>
              <w:t>Work instructions</w:t>
            </w:r>
            <w:r w:rsidRPr="00C56AB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ListBullet"/>
            </w:pPr>
            <w:r w:rsidRPr="00C56ABE">
              <w:t xml:space="preserve">social, religious or cultural requirements </w:t>
            </w:r>
          </w:p>
          <w:p w:rsidR="00000000" w:rsidRPr="00C56ABE" w:rsidP="00C56ABE">
            <w:pPr>
              <w:pStyle w:val="ListBullet"/>
            </w:pPr>
            <w:r w:rsidRPr="00C56ABE">
              <w:t>accessories</w:t>
            </w:r>
          </w:p>
          <w:p w:rsidR="00000000" w:rsidP="00C56ABE">
            <w:pPr>
              <w:pStyle w:val="ListBullet"/>
              <w:rPr>
                <w:lang w:val="en-NZ"/>
              </w:rPr>
            </w:pPr>
            <w:r w:rsidRPr="00C56ABE">
              <w:t>mementos.</w:t>
            </w: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BoldandItalics"/>
              </w:rPr>
              <w:t>Engraving requirements</w:t>
            </w:r>
            <w:r w:rsidRPr="00C56AB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ListBullet"/>
            </w:pPr>
            <w:r w:rsidRPr="00C56ABE">
              <w:t>nameplates</w:t>
            </w:r>
          </w:p>
          <w:p w:rsidR="00000000" w:rsidRPr="00C56ABE" w:rsidP="00C56ABE">
            <w:pPr>
              <w:pStyle w:val="ListBullet"/>
            </w:pPr>
            <w:r w:rsidRPr="00C56ABE">
              <w:t>mementos</w:t>
            </w:r>
          </w:p>
          <w:p w:rsidR="00000000" w:rsidRPr="00C56ABE" w:rsidP="00C56ABE">
            <w:pPr>
              <w:pStyle w:val="ListBullet"/>
            </w:pPr>
            <w:r w:rsidRPr="00C56ABE">
              <w:t>fonts</w:t>
            </w:r>
          </w:p>
          <w:p w:rsidR="00000000" w:rsidRPr="00C56ABE" w:rsidP="00C56ABE">
            <w:pPr>
              <w:pStyle w:val="ListBullet"/>
            </w:pPr>
            <w:r w:rsidRPr="00C56ABE">
              <w:t>iconography</w:t>
            </w:r>
          </w:p>
          <w:p w:rsidR="00000000" w:rsidRPr="00C56ABE" w:rsidP="00C56ABE">
            <w:pPr>
              <w:pStyle w:val="ListBullet"/>
            </w:pPr>
            <w:r w:rsidRPr="00C56ABE">
              <w:t>heraldry</w:t>
            </w:r>
          </w:p>
          <w:p w:rsidR="00000000" w:rsidRPr="00C56ABE" w:rsidP="00C56ABE">
            <w:pPr>
              <w:pStyle w:val="ListBullet"/>
            </w:pPr>
            <w:r w:rsidRPr="00C56ABE">
              <w:t>client brief</w:t>
            </w:r>
          </w:p>
          <w:p w:rsidR="00000000" w:rsidRPr="00C56ABE" w:rsidP="00C56ABE">
            <w:pPr>
              <w:pStyle w:val="ListBullet"/>
            </w:pPr>
            <w:r w:rsidRPr="00C56ABE">
              <w:t>drawings and specifications</w:t>
            </w:r>
          </w:p>
          <w:p w:rsidR="00000000" w:rsidRPr="00C56ABE" w:rsidP="00C56ABE">
            <w:pPr>
              <w:pStyle w:val="ListBullet"/>
            </w:pPr>
            <w:r w:rsidRPr="00C56ABE">
              <w:t>engraving surface, such as:</w:t>
            </w:r>
          </w:p>
          <w:p w:rsidR="00000000" w:rsidRPr="00C56ABE" w:rsidP="00C56ABE">
            <w:pPr>
              <w:pStyle w:val="ListBullet2"/>
            </w:pPr>
            <w:r w:rsidRPr="00C56ABE">
              <w:t>brass</w:t>
            </w:r>
          </w:p>
          <w:p w:rsidR="00000000" w:rsidRPr="00C56ABE" w:rsidP="00C56ABE">
            <w:pPr>
              <w:pStyle w:val="ListBullet2"/>
            </w:pPr>
            <w:r w:rsidRPr="00C56ABE">
              <w:t>silver</w:t>
            </w:r>
          </w:p>
          <w:p w:rsidR="00000000" w:rsidP="00C56ABE">
            <w:pPr>
              <w:pStyle w:val="ListBullet2"/>
              <w:rPr>
                <w:lang w:val="en-NZ"/>
              </w:rPr>
            </w:pPr>
            <w:r w:rsidRPr="00C56ABE">
              <w:t>gold.</w:t>
            </w: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BoldandItalics"/>
              </w:rPr>
              <w:t>Engraving tools and equipment</w:t>
            </w:r>
            <w:r w:rsidRPr="00C56AB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ListBullet"/>
            </w:pPr>
            <w:r w:rsidRPr="00C56ABE">
              <w:t>personal protective equipment, including:</w:t>
            </w:r>
          </w:p>
          <w:p w:rsidR="00000000" w:rsidRPr="00C56ABE" w:rsidP="00C56ABE">
            <w:pPr>
              <w:pStyle w:val="ListBullet2"/>
            </w:pPr>
            <w:r w:rsidRPr="00C56ABE">
              <w:t>safety glasses</w:t>
            </w:r>
          </w:p>
          <w:p w:rsidR="00000000" w:rsidRPr="00C56ABE" w:rsidP="00C56ABE">
            <w:pPr>
              <w:pStyle w:val="ListBullet2"/>
            </w:pPr>
            <w:r w:rsidRPr="00C56ABE">
              <w:t>ear plugs or muffs</w:t>
            </w:r>
          </w:p>
          <w:p w:rsidR="00000000" w:rsidRPr="00C56ABE" w:rsidP="00C56ABE">
            <w:pPr>
              <w:pStyle w:val="ListBullet2"/>
            </w:pPr>
            <w:r w:rsidRPr="00C56ABE">
              <w:t>dust masks</w:t>
            </w:r>
          </w:p>
          <w:p w:rsidR="00000000" w:rsidRPr="00C56ABE" w:rsidP="00C56ABE">
            <w:pPr>
              <w:pStyle w:val="ListBullet2"/>
            </w:pPr>
            <w:r w:rsidRPr="00C56ABE">
              <w:t>respirators</w:t>
            </w:r>
          </w:p>
          <w:p w:rsidR="00000000" w:rsidRPr="00C56ABE" w:rsidP="00C56ABE">
            <w:pPr>
              <w:pStyle w:val="ListBullet2"/>
            </w:pPr>
            <w:r w:rsidRPr="00C56ABE">
              <w:t>gloves</w:t>
            </w:r>
          </w:p>
          <w:p w:rsidR="00000000" w:rsidRPr="00C56ABE" w:rsidP="00C56ABE">
            <w:pPr>
              <w:pStyle w:val="ListBullet2"/>
            </w:pPr>
            <w:r w:rsidRPr="00C56ABE">
              <w:t>leather apron</w:t>
            </w:r>
          </w:p>
          <w:p w:rsidR="00000000" w:rsidRPr="00C56ABE" w:rsidP="00C56ABE">
            <w:pPr>
              <w:pStyle w:val="ListBullet"/>
            </w:pPr>
            <w:r w:rsidRPr="00C56ABE">
              <w:t>measuring tape</w:t>
            </w:r>
          </w:p>
          <w:p w:rsidR="00000000" w:rsidRPr="00C56ABE" w:rsidP="00C56ABE">
            <w:pPr>
              <w:pStyle w:val="ListBullet"/>
            </w:pPr>
            <w:r w:rsidRPr="00C56ABE">
              <w:t>rule</w:t>
            </w:r>
          </w:p>
          <w:p w:rsidR="00000000" w:rsidRPr="00C56ABE" w:rsidP="00C56ABE">
            <w:pPr>
              <w:pStyle w:val="ListBullet"/>
            </w:pPr>
            <w:r w:rsidRPr="00C56ABE">
              <w:t>drafting equipment</w:t>
            </w:r>
          </w:p>
          <w:p w:rsidR="00000000" w:rsidRPr="00C56ABE" w:rsidP="00C56ABE">
            <w:pPr>
              <w:pStyle w:val="ListBullet"/>
            </w:pPr>
            <w:r w:rsidRPr="00C56ABE">
              <w:t>squares</w:t>
            </w:r>
          </w:p>
          <w:p w:rsidR="00000000" w:rsidRPr="00C56ABE" w:rsidP="00C56ABE">
            <w:pPr>
              <w:pStyle w:val="ListBullet"/>
            </w:pPr>
            <w:r w:rsidRPr="00C56ABE">
              <w:t>manual engraving machine</w:t>
            </w:r>
          </w:p>
          <w:p w:rsidR="00000000" w:rsidRPr="00C56ABE" w:rsidP="00C56ABE">
            <w:pPr>
              <w:pStyle w:val="ListBullet"/>
            </w:pPr>
            <w:r w:rsidRPr="00C56ABE">
              <w:t>computerised engraving machine</w:t>
            </w:r>
          </w:p>
          <w:p w:rsidR="00000000" w:rsidP="00C56ABE">
            <w:pPr>
              <w:pStyle w:val="ListBullet"/>
              <w:rPr>
                <w:lang w:val="en-NZ"/>
              </w:rPr>
            </w:pPr>
            <w:r w:rsidRPr="00C56ABE">
              <w:t>motorised engraving machine.</w:t>
            </w: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t xml:space="preserve">Transfer to </w:t>
            </w:r>
            <w:r w:rsidRPr="00C56ABE">
              <w:rPr>
                <w:rStyle w:val="BoldandItalics"/>
              </w:rPr>
              <w:t>engraving surface</w:t>
            </w:r>
            <w:r w:rsidRPr="00C56AB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ListBullet"/>
            </w:pPr>
            <w:r w:rsidRPr="00C56ABE">
              <w:t>templates</w:t>
            </w:r>
          </w:p>
          <w:p w:rsidR="00000000" w:rsidRPr="00C56ABE" w:rsidP="00C56ABE">
            <w:pPr>
              <w:pStyle w:val="ListBullet"/>
            </w:pPr>
            <w:r w:rsidRPr="00C56ABE">
              <w:t>direct drafting</w:t>
            </w:r>
          </w:p>
          <w:p w:rsidR="00000000" w:rsidRPr="00C56ABE" w:rsidP="00C56ABE">
            <w:pPr>
              <w:pStyle w:val="ListBullet"/>
            </w:pPr>
            <w:r w:rsidRPr="00C56ABE">
              <w:t>stencils</w:t>
            </w:r>
          </w:p>
          <w:p w:rsidR="00000000" w:rsidP="00C56ABE">
            <w:pPr>
              <w:pStyle w:val="ListBullet"/>
              <w:rPr>
                <w:lang w:val="en-NZ"/>
              </w:rPr>
            </w:pPr>
            <w:r w:rsidRPr="00C56ABE">
              <w:t>tracings.</w:t>
            </w: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p>
        </w:tc>
      </w:tr>
      <w:tr w:rsidTr="00FA5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BoldandItalics"/>
              </w:rPr>
              <w:t>Lettering</w:t>
            </w:r>
            <w:r w:rsidRPr="00C56AB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56ABE" w:rsidP="00C56ABE">
            <w:pPr>
              <w:pStyle w:val="ListBullet"/>
            </w:pPr>
            <w:r w:rsidRPr="00C56ABE">
              <w:t>standard</w:t>
            </w:r>
          </w:p>
          <w:p w:rsidR="00000000" w:rsidRPr="00C56ABE" w:rsidP="00C56ABE">
            <w:pPr>
              <w:pStyle w:val="ListBullet"/>
            </w:pPr>
            <w:r w:rsidRPr="00C56ABE">
              <w:t>decorative.</w:t>
            </w:r>
          </w:p>
        </w:tc>
      </w:tr>
    </w:tbl>
    <w:p w:rsidR="00FA5556" w:rsidP="00C56ABE">
      <w:pPr>
        <w:pStyle w:val="BodyText"/>
      </w:pPr>
    </w:p>
    <w:p w:rsidR="00FA5556" w:rsidP="00C56ABE">
      <w:pPr>
        <w:pStyle w:val="BodyText"/>
      </w:pPr>
    </w:p>
    <w:p w:rsidR="00000000" w:rsidRPr="00C56ABE" w:rsidP="00C56ABE">
      <w:pPr>
        <w:pStyle w:val="Heading1"/>
      </w:pPr>
      <w:bookmarkStart w:id="12" w:name="O_136946"/>
      <w:bookmarkEnd w:id="12"/>
      <w:r w:rsidRPr="00C56ABE">
        <w:t>Unit Sector(s)</w:t>
      </w:r>
    </w:p>
    <w:tbl>
      <w:tblPr>
        <w:tblW w:w="0" w:type="auto"/>
        <w:tblLayout w:type="fixed"/>
        <w:tblCellMar>
          <w:left w:w="62" w:type="dxa"/>
          <w:right w:w="62" w:type="dxa"/>
        </w:tblCellMar>
        <w:tblLook w:val="0000"/>
      </w:tblPr>
      <w:tblGrid>
        <w:gridCol w:w="2836"/>
        <w:gridCol w:w="6344"/>
      </w:tblGrid>
      <w:tr w:rsidTr="00FA555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56ABE" w:rsidP="00C56ABE">
            <w:pPr>
              <w:pStyle w:val="BodyText"/>
            </w:pPr>
            <w:r w:rsidRPr="00C56ABE">
              <w:t>Funeral Services</w:t>
            </w:r>
          </w:p>
        </w:tc>
      </w:tr>
    </w:tbl>
    <w:p w:rsidR="00000000" w:rsidRPr="00C56ABE" w:rsidP="00C56ABE">
      <w:pPr>
        <w:pStyle w:val="BodyText"/>
      </w:pPr>
    </w:p>
    <w:p w:rsidR="00000000" w:rsidRPr="00C56ABE" w:rsidP="00C56ABE">
      <w:pPr>
        <w:pStyle w:val="AllowPageBreak"/>
      </w:pPr>
    </w:p>
    <w:p w:rsidR="00000000" w:rsidRPr="00C56ABE" w:rsidP="00C56ABE">
      <w:pPr>
        <w:pStyle w:val="Heading1"/>
      </w:pPr>
      <w:bookmarkStart w:id="13" w:name="O_162495"/>
      <w:bookmarkEnd w:id="13"/>
      <w:r w:rsidRPr="00C56ABE">
        <w:t>Competency field</w:t>
      </w:r>
    </w:p>
    <w:tbl>
      <w:tblPr>
        <w:tblW w:w="0" w:type="auto"/>
        <w:tblLayout w:type="fixed"/>
        <w:tblCellMar>
          <w:left w:w="62" w:type="dxa"/>
          <w:right w:w="62" w:type="dxa"/>
        </w:tblCellMar>
        <w:tblLook w:val="0000"/>
      </w:tblPr>
      <w:tblGrid>
        <w:gridCol w:w="2836"/>
        <w:gridCol w:w="6344"/>
      </w:tblGrid>
      <w:tr w:rsidTr="00FA555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56ABE">
            <w:pPr>
              <w:pStyle w:val="BodyText"/>
              <w:rPr>
                <w:lang w:val="en-NZ"/>
              </w:rPr>
            </w:pPr>
            <w:r w:rsidRPr="00C56ABE">
              <w:t>Mortuary Work and Embalming</w:t>
            </w:r>
          </w:p>
        </w:tc>
      </w:tr>
      <w:tr w:rsidTr="00FA55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56ABE" w:rsidP="00C56ABE">
            <w:pPr>
              <w:pStyle w:val="BodyText"/>
            </w:pPr>
          </w:p>
        </w:tc>
      </w:tr>
    </w:tbl>
    <w:p w:rsidR="00000000" w:rsidRPr="00C56ABE" w:rsidP="00C56ABE">
      <w:pPr>
        <w:pStyle w:val="BodyText"/>
      </w:pPr>
    </w:p>
    <w:p w:rsidR="00000000" w:rsidRPr="00C56ABE" w:rsidP="00C56ABE"/>
    <w:sectPr w:rsidSect="00C56A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5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56" w:rsidP="00C56A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A5556" w:rsidP="00C56A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A5556" w:rsidP="00C56A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5556" w:rsidP="00FA55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556" w:rsidP="00C56ABE">
    <w:pPr>
      <w:pStyle w:val="Header"/>
      <w:framePr w:wrap="around"/>
    </w:pPr>
    <w:r>
      <w:fldChar w:fldCharType="begin"/>
    </w:r>
    <w:r>
      <w:instrText xml:space="preserve"> TITLE   \* MERGEFORMAT </w:instrText>
    </w:r>
    <w:r>
      <w:fldChar w:fldCharType="separate"/>
    </w:r>
    <w:r>
      <w:t>SIFMWK001A Encoffin the deceased person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5556" w:rsidP="00C56A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5C6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F0F5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8E46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A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6ABE"/>
    <w:pPr>
      <w:spacing w:before="360" w:after="60"/>
      <w:outlineLvl w:val="0"/>
    </w:pPr>
    <w:rPr>
      <w:sz w:val="32"/>
    </w:rPr>
  </w:style>
  <w:style w:type="paragraph" w:styleId="Heading2">
    <w:name w:val="heading 2"/>
    <w:basedOn w:val="HeadingBase"/>
    <w:next w:val="BodyText"/>
    <w:link w:val="Heading2Char"/>
    <w:qFormat/>
    <w:rsid w:val="00C56ABE"/>
    <w:pPr>
      <w:keepLines/>
      <w:spacing w:before="240" w:after="120"/>
      <w:outlineLvl w:val="1"/>
    </w:pPr>
    <w:rPr>
      <w:sz w:val="28"/>
      <w:szCs w:val="40"/>
    </w:rPr>
  </w:style>
  <w:style w:type="paragraph" w:styleId="Heading3">
    <w:name w:val="heading 3"/>
    <w:basedOn w:val="HeadingBase"/>
    <w:next w:val="BodyText"/>
    <w:link w:val="Heading3Char"/>
    <w:qFormat/>
    <w:rsid w:val="00C56ABE"/>
    <w:pPr>
      <w:spacing w:before="180" w:after="120"/>
      <w:outlineLvl w:val="2"/>
    </w:pPr>
    <w:rPr>
      <w:spacing w:val="-10"/>
      <w:kern w:val="32"/>
    </w:rPr>
  </w:style>
  <w:style w:type="paragraph" w:styleId="Heading4">
    <w:name w:val="heading 4"/>
    <w:basedOn w:val="HeadingBase"/>
    <w:next w:val="BodyText"/>
    <w:link w:val="Heading4Char"/>
    <w:qFormat/>
    <w:rsid w:val="00C56ABE"/>
    <w:pPr>
      <w:spacing w:before="160" w:after="120"/>
      <w:outlineLvl w:val="3"/>
    </w:pPr>
    <w:rPr>
      <w:sz w:val="22"/>
    </w:rPr>
  </w:style>
  <w:style w:type="paragraph" w:styleId="Heading5">
    <w:name w:val="heading 5"/>
    <w:basedOn w:val="HeadingBase"/>
    <w:next w:val="Normal"/>
    <w:link w:val="Heading5Char"/>
    <w:qFormat/>
    <w:rsid w:val="00C56ABE"/>
    <w:pPr>
      <w:spacing w:before="80"/>
      <w:outlineLvl w:val="4"/>
    </w:pPr>
    <w:rPr>
      <w:color w:val="918585"/>
      <w:sz w:val="20"/>
    </w:rPr>
  </w:style>
  <w:style w:type="paragraph" w:styleId="Heading6">
    <w:name w:val="heading 6"/>
    <w:basedOn w:val="HeadingBase"/>
    <w:next w:val="Normal"/>
    <w:link w:val="Heading6Char"/>
    <w:qFormat/>
    <w:rsid w:val="00C56ABE"/>
    <w:pPr>
      <w:spacing w:before="60"/>
      <w:outlineLvl w:val="5"/>
    </w:pPr>
    <w:rPr>
      <w:color w:val="918585"/>
      <w:sz w:val="20"/>
    </w:rPr>
  </w:style>
  <w:style w:type="paragraph" w:styleId="Heading7">
    <w:name w:val="heading 7"/>
    <w:basedOn w:val="Normal"/>
    <w:next w:val="Normal"/>
    <w:link w:val="Heading7Char"/>
    <w:qFormat/>
    <w:rsid w:val="00C56ABE"/>
    <w:pPr>
      <w:ind w:left="720"/>
      <w:outlineLvl w:val="6"/>
    </w:pPr>
    <w:rPr>
      <w:i/>
    </w:rPr>
  </w:style>
  <w:style w:type="paragraph" w:styleId="Heading8">
    <w:name w:val="heading 8"/>
    <w:basedOn w:val="Normal"/>
    <w:next w:val="Normal"/>
    <w:link w:val="Heading8Char"/>
    <w:qFormat/>
    <w:rsid w:val="00C56ABE"/>
    <w:pPr>
      <w:ind w:left="720"/>
      <w:outlineLvl w:val="7"/>
    </w:pPr>
    <w:rPr>
      <w:i/>
    </w:rPr>
  </w:style>
  <w:style w:type="paragraph" w:styleId="Heading9">
    <w:name w:val="heading 9"/>
    <w:basedOn w:val="Normal"/>
    <w:next w:val="Normal"/>
    <w:link w:val="Heading9Char"/>
    <w:qFormat/>
    <w:rsid w:val="00C56ABE"/>
    <w:pPr>
      <w:ind w:left="720"/>
      <w:outlineLvl w:val="8"/>
    </w:pPr>
    <w:rPr>
      <w:i/>
    </w:rPr>
  </w:style>
  <w:style w:type="character" w:default="1" w:styleId="DefaultParagraphFont">
    <w:name w:val="Default Paragraph Font"/>
    <w:uiPriority w:val="1"/>
    <w:unhideWhenUsed/>
    <w:rsid w:val="00C56A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6ABE"/>
  </w:style>
  <w:style w:type="character" w:customStyle="1" w:styleId="Heading1Char">
    <w:name w:val="Heading 1 Char"/>
    <w:basedOn w:val="DefaultParagraphFont"/>
    <w:link w:val="Heading1"/>
    <w:rsid w:val="00C56ABE"/>
    <w:rPr>
      <w:rFonts w:ascii="Times New Roman" w:eastAsia="Times New Roman" w:hAnsi="Times New Roman" w:cs="Times New Roman"/>
      <w:b/>
      <w:sz w:val="32"/>
      <w:szCs w:val="20"/>
      <w:lang w:eastAsia="en-US"/>
    </w:rPr>
  </w:style>
  <w:style w:type="paragraph" w:styleId="BodyText">
    <w:name w:val="Body Text"/>
    <w:basedOn w:val="Normal"/>
    <w:link w:val="BodyTextChar"/>
    <w:rsid w:val="00C56A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6ABE"/>
    <w:rPr>
      <w:rFonts w:ascii="Times New Roman" w:eastAsia="Times New Roman" w:hAnsi="Times New Roman" w:cs="Times New Roman"/>
      <w:sz w:val="24"/>
      <w:lang w:val="en-US" w:eastAsia="en-US"/>
    </w:rPr>
  </w:style>
  <w:style w:type="paragraph" w:styleId="Footer">
    <w:name w:val="footer"/>
    <w:basedOn w:val="Normal"/>
    <w:link w:val="FooterChar"/>
    <w:rsid w:val="00C56A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6ABE"/>
    <w:rPr>
      <w:rFonts w:ascii="Times New Roman" w:eastAsia="Times New Roman" w:hAnsi="Times New Roman" w:cs="Times New Roman"/>
      <w:sz w:val="16"/>
      <w:lang w:val="en-US" w:eastAsia="en-US"/>
    </w:rPr>
  </w:style>
  <w:style w:type="paragraph" w:styleId="List">
    <w:name w:val="List"/>
    <w:basedOn w:val="BodyText"/>
    <w:next w:val="BodyText"/>
    <w:rsid w:val="00C56ABE"/>
    <w:pPr>
      <w:tabs>
        <w:tab w:val="left" w:pos="340"/>
      </w:tabs>
      <w:spacing w:before="60" w:after="60"/>
      <w:ind w:left="340" w:hanging="340"/>
    </w:pPr>
  </w:style>
  <w:style w:type="paragraph" w:styleId="ListBullet">
    <w:name w:val="List Bullet"/>
    <w:basedOn w:val="List"/>
    <w:rsid w:val="00C56ABE"/>
    <w:pPr>
      <w:numPr>
        <w:numId w:val="13"/>
      </w:numPr>
      <w:tabs>
        <w:tab w:val="clear" w:pos="340"/>
      </w:tabs>
      <w:spacing w:before="40" w:after="40"/>
    </w:pPr>
  </w:style>
  <w:style w:type="character" w:customStyle="1" w:styleId="SpecialBold">
    <w:name w:val="Special Bold"/>
    <w:basedOn w:val="DefaultParagraphFont"/>
    <w:rsid w:val="00C56ABE"/>
    <w:rPr>
      <w:b/>
      <w:spacing w:val="0"/>
    </w:rPr>
  </w:style>
  <w:style w:type="paragraph" w:styleId="ListBullet2">
    <w:name w:val="List Bullet 2"/>
    <w:basedOn w:val="List2"/>
    <w:rsid w:val="00C56ABE"/>
    <w:pPr>
      <w:numPr>
        <w:numId w:val="14"/>
      </w:numPr>
      <w:tabs>
        <w:tab w:val="clear" w:pos="680"/>
      </w:tabs>
    </w:pPr>
  </w:style>
  <w:style w:type="paragraph" w:styleId="Header">
    <w:name w:val="header"/>
    <w:basedOn w:val="Normal"/>
    <w:link w:val="HeaderChar"/>
    <w:rsid w:val="00C56A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6A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6ABE"/>
    <w:pPr>
      <w:spacing w:before="240" w:after="120"/>
      <w:outlineLvl w:val="0"/>
    </w:pPr>
    <w:rPr>
      <w:rFonts w:ascii="Times New Roman" w:hAnsi="Times New Roman"/>
      <w:b/>
      <w:sz w:val="28"/>
    </w:rPr>
  </w:style>
  <w:style w:type="paragraph" w:customStyle="1" w:styleId="AllowPageBreak">
    <w:name w:val="AllowPageBreak"/>
    <w:rsid w:val="00C56A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6ABE"/>
    <w:rPr>
      <w:b/>
      <w:i/>
      <w:u w:val="none"/>
    </w:rPr>
  </w:style>
  <w:style w:type="character" w:customStyle="1" w:styleId="Heading2Char">
    <w:name w:val="Heading 2 Char"/>
    <w:basedOn w:val="DefaultParagraphFont"/>
    <w:link w:val="Heading2"/>
    <w:rsid w:val="00C56A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6A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6A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6A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6A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6A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6A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6ABE"/>
    <w:rPr>
      <w:rFonts w:ascii="Courier New" w:eastAsia="Times New Roman" w:hAnsi="Courier New" w:cs="Times New Roman"/>
      <w:i/>
      <w:szCs w:val="20"/>
      <w:lang w:val="en-US" w:eastAsia="en-US"/>
    </w:rPr>
  </w:style>
  <w:style w:type="paragraph" w:customStyle="1" w:styleId="HeadingBase">
    <w:name w:val="Heading Base"/>
    <w:rsid w:val="00C56A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6ABE"/>
    <w:pPr>
      <w:tabs>
        <w:tab w:val="right" w:leader="dot" w:pos="9072"/>
      </w:tabs>
      <w:ind w:left="567"/>
    </w:pPr>
    <w:rPr>
      <w:szCs w:val="22"/>
    </w:rPr>
  </w:style>
  <w:style w:type="paragraph" w:customStyle="1" w:styleId="TOCBase">
    <w:name w:val="TOC Base"/>
    <w:rsid w:val="00C56A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6ABE"/>
    <w:pPr>
      <w:tabs>
        <w:tab w:val="right" w:leader="dot" w:pos="9072"/>
      </w:tabs>
      <w:spacing w:before="40" w:after="40"/>
      <w:ind w:left="284"/>
    </w:pPr>
    <w:rPr>
      <w:rFonts w:ascii="Times New Roman" w:hAnsi="Times New Roman"/>
    </w:rPr>
  </w:style>
  <w:style w:type="paragraph" w:styleId="TOC1">
    <w:name w:val="toc 1"/>
    <w:basedOn w:val="TOCBase"/>
    <w:next w:val="Normal"/>
    <w:rsid w:val="00C56A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6ABE"/>
    <w:pPr>
      <w:spacing w:before="5040"/>
      <w:jc w:val="center"/>
    </w:pPr>
    <w:rPr>
      <w:sz w:val="48"/>
      <w:szCs w:val="72"/>
      <w:lang w:val="en-US"/>
    </w:rPr>
  </w:style>
  <w:style w:type="character" w:customStyle="1" w:styleId="TitleChar">
    <w:name w:val="Title Char"/>
    <w:basedOn w:val="DefaultParagraphFont"/>
    <w:link w:val="Title"/>
    <w:rsid w:val="00C56A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6ABE"/>
    <w:pPr>
      <w:tabs>
        <w:tab w:val="left" w:pos="3600"/>
        <w:tab w:val="left" w:pos="3958"/>
      </w:tabs>
    </w:pPr>
  </w:style>
  <w:style w:type="paragraph" w:customStyle="1" w:styleId="Note">
    <w:name w:val="Note"/>
    <w:basedOn w:val="BodyText"/>
    <w:rsid w:val="00C56A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6ABE"/>
    <w:pPr>
      <w:framePr w:wrap="auto" w:hAnchor="text" w:y="6049"/>
    </w:pPr>
    <w:rPr>
      <w:color w:val="000000"/>
      <w:sz w:val="40"/>
    </w:rPr>
  </w:style>
  <w:style w:type="paragraph" w:customStyle="1" w:styleId="TOCTitle">
    <w:name w:val="TOCTitle"/>
    <w:basedOn w:val="Heading1"/>
    <w:rsid w:val="00C56ABE"/>
    <w:pPr>
      <w:spacing w:after="240"/>
      <w:jc w:val="center"/>
      <w:outlineLvl w:val="9"/>
    </w:pPr>
    <w:rPr>
      <w:caps/>
    </w:rPr>
  </w:style>
  <w:style w:type="paragraph" w:customStyle="1" w:styleId="Version">
    <w:name w:val="Version"/>
    <w:rsid w:val="00C56A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6ABE"/>
    <w:pPr>
      <w:keepNext w:val="0"/>
      <w:tabs>
        <w:tab w:val="right" w:pos="4176"/>
      </w:tabs>
      <w:ind w:left="198" w:hanging="198"/>
    </w:pPr>
    <w:rPr>
      <w:rFonts w:ascii="Garamond" w:hAnsi="Garamond"/>
    </w:rPr>
  </w:style>
  <w:style w:type="paragraph" w:styleId="IndexHeading">
    <w:name w:val="index heading"/>
    <w:basedOn w:val="Normal"/>
    <w:next w:val="Index1"/>
    <w:semiHidden/>
    <w:rsid w:val="00C56ABE"/>
    <w:pPr>
      <w:spacing w:before="120" w:after="120"/>
    </w:pPr>
    <w:rPr>
      <w:rFonts w:ascii="Arial" w:hAnsi="Arial"/>
      <w:b/>
      <w:color w:val="918585"/>
      <w:sz w:val="24"/>
    </w:rPr>
  </w:style>
  <w:style w:type="paragraph" w:customStyle="1" w:styleId="Chapter">
    <w:name w:val="Chapter"/>
    <w:basedOn w:val="Normal"/>
    <w:rsid w:val="00C56ABE"/>
    <w:pPr>
      <w:spacing w:before="240"/>
    </w:pPr>
    <w:rPr>
      <w:rFonts w:ascii="Times New Roman" w:hAnsi="Times New Roman"/>
      <w:smallCaps/>
      <w:spacing w:val="80"/>
      <w:sz w:val="28"/>
    </w:rPr>
  </w:style>
  <w:style w:type="paragraph" w:customStyle="1" w:styleId="InChapter">
    <w:name w:val="InChapter"/>
    <w:basedOn w:val="Heading3"/>
    <w:rsid w:val="00C56ABE"/>
    <w:pPr>
      <w:spacing w:after="240"/>
      <w:outlineLvl w:val="9"/>
    </w:pPr>
    <w:rPr>
      <w:noProof/>
    </w:rPr>
  </w:style>
  <w:style w:type="paragraph" w:styleId="Index2">
    <w:name w:val="index 2"/>
    <w:basedOn w:val="Normal"/>
    <w:next w:val="Normal"/>
    <w:semiHidden/>
    <w:rsid w:val="00C56ABE"/>
    <w:pPr>
      <w:tabs>
        <w:tab w:val="right" w:pos="4176"/>
      </w:tabs>
      <w:ind w:left="568" w:hanging="284"/>
    </w:pPr>
    <w:rPr>
      <w:rFonts w:ascii="Garamond" w:hAnsi="Garamond"/>
    </w:rPr>
  </w:style>
  <w:style w:type="paragraph" w:customStyle="1" w:styleId="Byline">
    <w:name w:val="Byline"/>
    <w:rsid w:val="00C56A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6ABE"/>
    <w:pPr>
      <w:tabs>
        <w:tab w:val="clear" w:pos="3600"/>
        <w:tab w:val="clear" w:pos="3958"/>
      </w:tabs>
      <w:jc w:val="right"/>
    </w:pPr>
  </w:style>
  <w:style w:type="character" w:styleId="Emphasis">
    <w:name w:val="Emphasis"/>
    <w:basedOn w:val="DefaultParagraphFont"/>
    <w:qFormat/>
    <w:rsid w:val="00C56ABE"/>
    <w:rPr>
      <w:i/>
    </w:rPr>
  </w:style>
  <w:style w:type="paragraph" w:styleId="Caption">
    <w:name w:val="caption"/>
    <w:basedOn w:val="BodyText"/>
    <w:next w:val="Normal"/>
    <w:qFormat/>
    <w:rsid w:val="00C56ABE"/>
    <w:pPr>
      <w:framePr w:w="2268" w:hSpace="181" w:vSpace="181" w:wrap="around" w:vAnchor="text" w:hAnchor="page" w:x="1135" w:y="285" w:anchorLock="1"/>
    </w:pPr>
    <w:rPr>
      <w:i/>
    </w:rPr>
  </w:style>
  <w:style w:type="paragraph" w:customStyle="1" w:styleId="MiniTOCTitle">
    <w:name w:val="MiniTOCTitle"/>
    <w:basedOn w:val="Heading4"/>
    <w:rsid w:val="00C56ABE"/>
    <w:pPr>
      <w:spacing w:before="240"/>
      <w:outlineLvl w:val="9"/>
    </w:pPr>
    <w:rPr>
      <w:noProof/>
      <w:sz w:val="24"/>
    </w:rPr>
  </w:style>
  <w:style w:type="paragraph" w:customStyle="1" w:styleId="MiniTOCItem">
    <w:name w:val="MiniTOCItem"/>
    <w:basedOn w:val="ListBullet"/>
    <w:rsid w:val="00C56ABE"/>
    <w:pPr>
      <w:numPr>
        <w:numId w:val="0"/>
      </w:numPr>
      <w:tabs>
        <w:tab w:val="right" w:leader="dot" w:pos="6521"/>
      </w:tabs>
      <w:spacing w:before="0" w:after="0"/>
    </w:pPr>
  </w:style>
  <w:style w:type="paragraph" w:customStyle="1" w:styleId="TOFTitle">
    <w:name w:val="TOFTitle"/>
    <w:basedOn w:val="TOCTitle"/>
    <w:rsid w:val="00C56ABE"/>
  </w:style>
  <w:style w:type="paragraph" w:styleId="TableofFigures">
    <w:name w:val="table of figures"/>
    <w:basedOn w:val="Normal"/>
    <w:next w:val="Normal"/>
    <w:semiHidden/>
    <w:rsid w:val="00C56ABE"/>
    <w:pPr>
      <w:tabs>
        <w:tab w:val="right" w:leader="dot" w:pos="9072"/>
      </w:tabs>
      <w:ind w:left="970" w:hanging="403"/>
    </w:pPr>
    <w:rPr>
      <w:rFonts w:ascii="Times New Roman" w:hAnsi="Times New Roman"/>
      <w:b/>
    </w:rPr>
  </w:style>
  <w:style w:type="paragraph" w:styleId="ListNumber">
    <w:name w:val="List Number"/>
    <w:basedOn w:val="List"/>
    <w:rsid w:val="00C56ABE"/>
    <w:pPr>
      <w:numPr>
        <w:numId w:val="11"/>
      </w:numPr>
    </w:pPr>
  </w:style>
  <w:style w:type="character" w:customStyle="1" w:styleId="WingdingSymbols">
    <w:name w:val="Wingding Symbols"/>
    <w:rsid w:val="00C56ABE"/>
    <w:rPr>
      <w:rFonts w:ascii="Wingdings" w:hAnsi="Wingdings"/>
    </w:rPr>
  </w:style>
  <w:style w:type="paragraph" w:customStyle="1" w:styleId="TableHeading">
    <w:name w:val="Table Heading"/>
    <w:basedOn w:val="HeadingBase"/>
    <w:rsid w:val="00C56ABE"/>
    <w:pPr>
      <w:keepLines/>
      <w:pBdr>
        <w:bottom w:val="single" w:sz="6" w:space="1" w:color="918585"/>
      </w:pBdr>
      <w:spacing w:before="240"/>
    </w:pPr>
  </w:style>
  <w:style w:type="character" w:customStyle="1" w:styleId="HotSpot">
    <w:name w:val="HotSpot"/>
    <w:rsid w:val="00C56ABE"/>
    <w:rPr>
      <w:color w:val="0033CC"/>
      <w:u w:val="none"/>
    </w:rPr>
  </w:style>
  <w:style w:type="paragraph" w:customStyle="1" w:styleId="BodyTextRight">
    <w:name w:val="Body Text Right"/>
    <w:basedOn w:val="BodyText"/>
    <w:rsid w:val="00C56ABE"/>
    <w:pPr>
      <w:spacing w:before="0" w:after="0"/>
      <w:jc w:val="right"/>
    </w:pPr>
  </w:style>
  <w:style w:type="paragraph" w:styleId="Index3">
    <w:name w:val="index 3"/>
    <w:basedOn w:val="ListNumber2"/>
    <w:next w:val="Normal"/>
    <w:semiHidden/>
    <w:rsid w:val="00C56ABE"/>
    <w:pPr>
      <w:numPr>
        <w:numId w:val="0"/>
      </w:numPr>
      <w:tabs>
        <w:tab w:val="right" w:leader="dot" w:pos="4176"/>
      </w:tabs>
    </w:pPr>
  </w:style>
  <w:style w:type="paragraph" w:styleId="ListNumber2">
    <w:name w:val="List Number 2"/>
    <w:basedOn w:val="List2"/>
    <w:rsid w:val="00C56ABE"/>
    <w:pPr>
      <w:numPr>
        <w:numId w:val="10"/>
      </w:numPr>
      <w:tabs>
        <w:tab w:val="clear" w:pos="1060"/>
      </w:tabs>
    </w:pPr>
  </w:style>
  <w:style w:type="paragraph" w:customStyle="1" w:styleId="MarginNote">
    <w:name w:val="Margin Note"/>
    <w:basedOn w:val="BodyText"/>
    <w:rsid w:val="00C56A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6A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6A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6ABE"/>
    <w:rPr>
      <w:sz w:val="32"/>
    </w:rPr>
  </w:style>
  <w:style w:type="paragraph" w:customStyle="1" w:styleId="HeadingProcedure">
    <w:name w:val="Heading Procedure"/>
    <w:basedOn w:val="HeadingBase"/>
    <w:next w:val="Normal"/>
    <w:rsid w:val="00C56ABE"/>
    <w:pPr>
      <w:tabs>
        <w:tab w:val="left" w:pos="0"/>
      </w:tabs>
      <w:spacing w:before="120" w:after="60"/>
    </w:pPr>
    <w:rPr>
      <w:i/>
      <w:color w:val="918585"/>
      <w:sz w:val="22"/>
    </w:rPr>
  </w:style>
  <w:style w:type="paragraph" w:customStyle="1" w:styleId="TableBodyText">
    <w:name w:val="Table Body Text"/>
    <w:basedOn w:val="BodyText"/>
    <w:rsid w:val="00C56ABE"/>
    <w:pPr>
      <w:spacing w:before="60" w:after="60"/>
    </w:pPr>
  </w:style>
  <w:style w:type="paragraph" w:styleId="ListContinue">
    <w:name w:val="List Continue"/>
    <w:basedOn w:val="List"/>
    <w:rsid w:val="00C56ABE"/>
    <w:pPr>
      <w:ind w:firstLine="0"/>
    </w:pPr>
  </w:style>
  <w:style w:type="paragraph" w:customStyle="1" w:styleId="ListNote">
    <w:name w:val="List Note"/>
    <w:basedOn w:val="List"/>
    <w:rsid w:val="00C56ABE"/>
    <w:pPr>
      <w:pBdr>
        <w:top w:val="single" w:sz="6" w:space="2" w:color="918585"/>
        <w:bottom w:val="single" w:sz="6" w:space="2" w:color="918585"/>
      </w:pBdr>
      <w:tabs>
        <w:tab w:val="left" w:pos="1021"/>
      </w:tabs>
      <w:ind w:firstLine="0"/>
    </w:pPr>
  </w:style>
  <w:style w:type="paragraph" w:customStyle="1" w:styleId="Warning">
    <w:name w:val="Warning"/>
    <w:basedOn w:val="BodyText"/>
    <w:rsid w:val="00C56ABE"/>
    <w:pPr>
      <w:shd w:val="clear" w:color="auto" w:fill="D9D9D9"/>
      <w:tabs>
        <w:tab w:val="left" w:pos="992"/>
      </w:tabs>
      <w:ind w:left="119" w:right="119"/>
    </w:pPr>
    <w:rPr>
      <w:sz w:val="20"/>
    </w:rPr>
  </w:style>
  <w:style w:type="paragraph" w:customStyle="1" w:styleId="MarginIcons">
    <w:name w:val="Margin Icons"/>
    <w:basedOn w:val="BodyText"/>
    <w:rsid w:val="00C56A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6ABE"/>
    <w:rPr>
      <w:rFonts w:ascii="Courier New" w:hAnsi="Courier New"/>
    </w:rPr>
  </w:style>
  <w:style w:type="paragraph" w:customStyle="1" w:styleId="NoteBullet">
    <w:name w:val="Note Bullet"/>
    <w:basedOn w:val="Note"/>
    <w:rsid w:val="00C56ABE"/>
    <w:pPr>
      <w:tabs>
        <w:tab w:val="clear" w:pos="680"/>
      </w:tabs>
      <w:spacing w:before="60" w:after="60"/>
    </w:pPr>
  </w:style>
  <w:style w:type="paragraph" w:customStyle="1" w:styleId="SubHeading2">
    <w:name w:val="SubHeading2"/>
    <w:basedOn w:val="HeadingBase"/>
    <w:rsid w:val="00C56ABE"/>
    <w:pPr>
      <w:spacing w:before="240" w:after="60"/>
    </w:pPr>
    <w:rPr>
      <w:sz w:val="20"/>
    </w:rPr>
  </w:style>
  <w:style w:type="paragraph" w:customStyle="1" w:styleId="SubHeading1">
    <w:name w:val="SubHeading1"/>
    <w:basedOn w:val="HeadingBase"/>
    <w:rsid w:val="00C56ABE"/>
    <w:pPr>
      <w:spacing w:before="240" w:after="60"/>
    </w:pPr>
    <w:rPr>
      <w:color w:val="918585"/>
      <w:sz w:val="22"/>
    </w:rPr>
  </w:style>
  <w:style w:type="paragraph" w:customStyle="1" w:styleId="SideHeading">
    <w:name w:val="Side Heading"/>
    <w:basedOn w:val="HeadingBase"/>
    <w:rsid w:val="00C56A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6ABE"/>
    <w:pPr>
      <w:numPr>
        <w:numId w:val="12"/>
      </w:numPr>
    </w:pPr>
  </w:style>
  <w:style w:type="paragraph" w:styleId="PlainText">
    <w:name w:val="Plain Text"/>
    <w:basedOn w:val="Normal"/>
    <w:link w:val="PlainTextChar"/>
    <w:rsid w:val="00C56ABE"/>
    <w:rPr>
      <w:sz w:val="20"/>
    </w:rPr>
  </w:style>
  <w:style w:type="character" w:customStyle="1" w:styleId="PlainTextChar">
    <w:name w:val="Plain Text Char"/>
    <w:basedOn w:val="DefaultParagraphFont"/>
    <w:link w:val="PlainText"/>
    <w:rsid w:val="00C56A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6ABE"/>
    <w:rPr>
      <w:b/>
      <w:smallCaps/>
    </w:rPr>
  </w:style>
  <w:style w:type="paragraph" w:customStyle="1" w:styleId="TableListNumber">
    <w:name w:val="Table List Number"/>
    <w:basedOn w:val="ListNumber"/>
    <w:rsid w:val="00C56ABE"/>
    <w:pPr>
      <w:numPr>
        <w:numId w:val="0"/>
      </w:numPr>
    </w:pPr>
  </w:style>
  <w:style w:type="paragraph" w:styleId="TOC4">
    <w:name w:val="toc 4"/>
    <w:basedOn w:val="TOCBase"/>
    <w:next w:val="Normal"/>
    <w:semiHidden/>
    <w:rsid w:val="00C56ABE"/>
    <w:pPr>
      <w:tabs>
        <w:tab w:val="right" w:leader="dot" w:pos="9071"/>
      </w:tabs>
      <w:ind w:left="1701"/>
    </w:pPr>
  </w:style>
  <w:style w:type="paragraph" w:customStyle="1" w:styleId="ListAlpha">
    <w:name w:val="List Alpha"/>
    <w:basedOn w:val="List"/>
    <w:rsid w:val="00C56ABE"/>
    <w:pPr>
      <w:numPr>
        <w:numId w:val="9"/>
      </w:numPr>
    </w:pPr>
  </w:style>
  <w:style w:type="paragraph" w:customStyle="1" w:styleId="ListAlpha2">
    <w:name w:val="List Alpha 2"/>
    <w:basedOn w:val="List2"/>
    <w:rsid w:val="00C56ABE"/>
    <w:pPr>
      <w:numPr>
        <w:numId w:val="8"/>
      </w:numPr>
    </w:pPr>
  </w:style>
  <w:style w:type="paragraph" w:styleId="List2">
    <w:name w:val="List 2"/>
    <w:basedOn w:val="BodyText"/>
    <w:rsid w:val="00C56ABE"/>
    <w:pPr>
      <w:tabs>
        <w:tab w:val="left" w:pos="680"/>
      </w:tabs>
      <w:spacing w:before="60" w:after="60"/>
      <w:ind w:left="680" w:hanging="340"/>
    </w:pPr>
  </w:style>
  <w:style w:type="paragraph" w:styleId="List3">
    <w:name w:val="List 3"/>
    <w:basedOn w:val="BodyText"/>
    <w:rsid w:val="00C56ABE"/>
    <w:pPr>
      <w:tabs>
        <w:tab w:val="left" w:pos="1021"/>
      </w:tabs>
      <w:spacing w:before="60" w:after="60"/>
      <w:ind w:left="1020" w:hanging="340"/>
    </w:pPr>
  </w:style>
  <w:style w:type="paragraph" w:styleId="List4">
    <w:name w:val="List 4"/>
    <w:basedOn w:val="BodyText"/>
    <w:rsid w:val="00C56ABE"/>
    <w:pPr>
      <w:tabs>
        <w:tab w:val="left" w:pos="1361"/>
      </w:tabs>
      <w:spacing w:before="60" w:after="60"/>
      <w:ind w:left="1361" w:hanging="340"/>
    </w:pPr>
  </w:style>
  <w:style w:type="paragraph" w:styleId="List5">
    <w:name w:val="List 5"/>
    <w:basedOn w:val="BodyText"/>
    <w:rsid w:val="00C56ABE"/>
    <w:pPr>
      <w:tabs>
        <w:tab w:val="left" w:pos="1701"/>
      </w:tabs>
      <w:spacing w:before="60" w:after="60"/>
      <w:ind w:left="1701" w:hanging="340"/>
    </w:pPr>
  </w:style>
  <w:style w:type="paragraph" w:styleId="ListBullet3">
    <w:name w:val="List Bullet 3"/>
    <w:basedOn w:val="List3"/>
    <w:rsid w:val="00C56ABE"/>
    <w:pPr>
      <w:numPr>
        <w:numId w:val="15"/>
      </w:numPr>
      <w:tabs>
        <w:tab w:val="clear" w:pos="1021"/>
      </w:tabs>
      <w:ind w:left="1037" w:hanging="357"/>
    </w:pPr>
  </w:style>
  <w:style w:type="paragraph" w:styleId="ListBullet4">
    <w:name w:val="List Bullet 4"/>
    <w:basedOn w:val="List4"/>
    <w:rsid w:val="00C56ABE"/>
    <w:pPr>
      <w:numPr>
        <w:numId w:val="3"/>
      </w:numPr>
    </w:pPr>
  </w:style>
  <w:style w:type="paragraph" w:styleId="ListBullet5">
    <w:name w:val="List Bullet 5"/>
    <w:basedOn w:val="List5"/>
    <w:rsid w:val="00C56ABE"/>
    <w:pPr>
      <w:numPr>
        <w:numId w:val="4"/>
      </w:numPr>
    </w:pPr>
  </w:style>
  <w:style w:type="paragraph" w:styleId="ListContinue2">
    <w:name w:val="List Continue 2"/>
    <w:basedOn w:val="List2"/>
    <w:rsid w:val="00C56ABE"/>
    <w:pPr>
      <w:ind w:firstLine="0"/>
    </w:pPr>
  </w:style>
  <w:style w:type="paragraph" w:styleId="ListContinue3">
    <w:name w:val="List Continue 3"/>
    <w:basedOn w:val="List3"/>
    <w:rsid w:val="00C56ABE"/>
    <w:pPr>
      <w:ind w:left="1021" w:firstLine="0"/>
    </w:pPr>
  </w:style>
  <w:style w:type="paragraph" w:styleId="ListContinue4">
    <w:name w:val="List Continue 4"/>
    <w:basedOn w:val="List4"/>
    <w:rsid w:val="00C56ABE"/>
    <w:pPr>
      <w:ind w:firstLine="0"/>
    </w:pPr>
  </w:style>
  <w:style w:type="paragraph" w:styleId="ListContinue5">
    <w:name w:val="List Continue 5"/>
    <w:basedOn w:val="List5"/>
    <w:rsid w:val="00C56ABE"/>
    <w:pPr>
      <w:ind w:firstLine="0"/>
    </w:pPr>
  </w:style>
  <w:style w:type="paragraph" w:styleId="ListNumber3">
    <w:name w:val="List Number 3"/>
    <w:basedOn w:val="List3"/>
    <w:rsid w:val="00C56ABE"/>
    <w:pPr>
      <w:numPr>
        <w:numId w:val="5"/>
      </w:numPr>
    </w:pPr>
  </w:style>
  <w:style w:type="paragraph" w:styleId="ListNumber4">
    <w:name w:val="List Number 4"/>
    <w:basedOn w:val="List4"/>
    <w:rsid w:val="00C56ABE"/>
    <w:pPr>
      <w:numPr>
        <w:numId w:val="6"/>
      </w:numPr>
    </w:pPr>
  </w:style>
  <w:style w:type="paragraph" w:styleId="ListNumber5">
    <w:name w:val="List Number 5"/>
    <w:basedOn w:val="List5"/>
    <w:rsid w:val="00C56ABE"/>
    <w:pPr>
      <w:numPr>
        <w:numId w:val="7"/>
      </w:numPr>
    </w:pPr>
  </w:style>
  <w:style w:type="paragraph" w:styleId="BlockText">
    <w:name w:val="Block Text"/>
    <w:basedOn w:val="Normal"/>
    <w:rsid w:val="00C56ABE"/>
    <w:pPr>
      <w:spacing w:after="120"/>
      <w:ind w:left="1440" w:right="1440"/>
    </w:pPr>
  </w:style>
  <w:style w:type="character" w:customStyle="1" w:styleId="Subscript">
    <w:name w:val="Subscript"/>
    <w:basedOn w:val="DefaultParagraphFont"/>
    <w:rsid w:val="00C56ABE"/>
    <w:rPr>
      <w:sz w:val="16"/>
      <w:vertAlign w:val="subscript"/>
    </w:rPr>
  </w:style>
  <w:style w:type="character" w:customStyle="1" w:styleId="Superscript">
    <w:name w:val="Superscript"/>
    <w:basedOn w:val="DefaultParagraphFont"/>
    <w:rsid w:val="00C56ABE"/>
    <w:rPr>
      <w:sz w:val="16"/>
      <w:vertAlign w:val="superscript"/>
    </w:rPr>
  </w:style>
  <w:style w:type="character" w:customStyle="1" w:styleId="Symbols">
    <w:name w:val="Symbols"/>
    <w:basedOn w:val="DefaultParagraphFont"/>
    <w:rsid w:val="00C56ABE"/>
    <w:rPr>
      <w:rFonts w:ascii="Symbol" w:hAnsi="Symbol"/>
    </w:rPr>
  </w:style>
  <w:style w:type="character" w:customStyle="1" w:styleId="MenuOptions">
    <w:name w:val="Menu Options"/>
    <w:basedOn w:val="DefaultParagraphFont"/>
    <w:rsid w:val="00C56ABE"/>
    <w:rPr>
      <w:rFonts w:ascii="Arial Narrow" w:hAnsi="Arial Narrow"/>
      <w:smallCaps/>
    </w:rPr>
  </w:style>
  <w:style w:type="character" w:customStyle="1" w:styleId="Buttons">
    <w:name w:val="Buttons"/>
    <w:basedOn w:val="DefaultParagraphFont"/>
    <w:rsid w:val="00C56ABE"/>
    <w:rPr>
      <w:b/>
    </w:rPr>
  </w:style>
  <w:style w:type="character" w:customStyle="1" w:styleId="Underlined">
    <w:name w:val="Underlined"/>
    <w:basedOn w:val="DefaultParagraphFont"/>
    <w:rsid w:val="00C56ABE"/>
    <w:rPr>
      <w:u w:val="single"/>
    </w:rPr>
  </w:style>
  <w:style w:type="paragraph" w:customStyle="1" w:styleId="TableBodyTextRight">
    <w:name w:val="Table Body Text Right"/>
    <w:basedOn w:val="TableBodyText"/>
    <w:rsid w:val="00C56ABE"/>
    <w:pPr>
      <w:widowControl w:val="0"/>
      <w:autoSpaceDE w:val="0"/>
      <w:autoSpaceDN w:val="0"/>
      <w:adjustRightInd w:val="0"/>
      <w:jc w:val="right"/>
    </w:pPr>
    <w:rPr>
      <w:rFonts w:cs="Arial"/>
      <w:szCs w:val="18"/>
    </w:rPr>
  </w:style>
  <w:style w:type="paragraph" w:customStyle="1" w:styleId="CopyrightText">
    <w:name w:val="Copyright Text"/>
    <w:basedOn w:val="BodyText"/>
    <w:rsid w:val="00C56ABE"/>
    <w:rPr>
      <w:sz w:val="18"/>
    </w:rPr>
  </w:style>
  <w:style w:type="paragraph" w:customStyle="1" w:styleId="BodySmallRight">
    <w:name w:val="Body Small Right"/>
    <w:basedOn w:val="BodyTextRight"/>
    <w:rsid w:val="00C56ABE"/>
    <w:rPr>
      <w:sz w:val="18"/>
      <w:szCs w:val="18"/>
    </w:rPr>
  </w:style>
  <w:style w:type="paragraph" w:customStyle="1" w:styleId="MarginEdition">
    <w:name w:val="Margin Edition"/>
    <w:basedOn w:val="MarginNote"/>
    <w:rsid w:val="00C56ABE"/>
    <w:pPr>
      <w:spacing w:before="0" w:after="0"/>
    </w:pPr>
    <w:rPr>
      <w:rFonts w:ascii="Times New Roman" w:hAnsi="Times New Roman"/>
      <w:color w:val="999999"/>
    </w:rPr>
  </w:style>
  <w:style w:type="paragraph" w:customStyle="1" w:styleId="Spacer">
    <w:name w:val="Spacer"/>
    <w:basedOn w:val="Normal"/>
    <w:rsid w:val="00C56ABE"/>
    <w:rPr>
      <w:sz w:val="2"/>
      <w:szCs w:val="2"/>
    </w:rPr>
  </w:style>
  <w:style w:type="character" w:customStyle="1" w:styleId="Small">
    <w:name w:val="Small"/>
    <w:basedOn w:val="DefaultParagraphFont"/>
    <w:rsid w:val="00C56ABE"/>
    <w:rPr>
      <w:sz w:val="16"/>
    </w:rPr>
  </w:style>
  <w:style w:type="paragraph" w:customStyle="1" w:styleId="WideTable">
    <w:name w:val="Wide Table"/>
    <w:basedOn w:val="Normal"/>
    <w:rsid w:val="00C56ABE"/>
    <w:pPr>
      <w:ind w:left="-1418"/>
    </w:pPr>
    <w:rPr>
      <w:sz w:val="2"/>
      <w:szCs w:val="2"/>
    </w:rPr>
  </w:style>
  <w:style w:type="character" w:styleId="PageNumber">
    <w:name w:val="page number"/>
    <w:basedOn w:val="DefaultParagraphFont"/>
    <w:rsid w:val="00C56ABE"/>
  </w:style>
  <w:style w:type="paragraph" w:styleId="Quote">
    <w:name w:val="Quote"/>
    <w:basedOn w:val="Heading1"/>
    <w:link w:val="QuoteChar"/>
    <w:qFormat/>
    <w:rsid w:val="00C56ABE"/>
    <w:rPr>
      <w:b w:val="0"/>
      <w:sz w:val="72"/>
      <w:szCs w:val="72"/>
      <w:lang w:val="en-NZ"/>
    </w:rPr>
  </w:style>
  <w:style w:type="character" w:customStyle="1" w:styleId="QuoteChar">
    <w:name w:val="Quote Char"/>
    <w:basedOn w:val="DefaultParagraphFont"/>
    <w:link w:val="Quote"/>
    <w:rsid w:val="00C56A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6ABE"/>
    <w:pPr>
      <w:pageBreakBefore/>
    </w:pPr>
  </w:style>
  <w:style w:type="paragraph" w:customStyle="1" w:styleId="Border">
    <w:name w:val="Border"/>
    <w:basedOn w:val="Normal"/>
    <w:qFormat/>
    <w:rsid w:val="00C56A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6ABE"/>
    <w:rPr>
      <w:b/>
      <w:bCs/>
      <w:i/>
      <w:iCs/>
      <w:color w:val="auto"/>
    </w:rPr>
  </w:style>
  <w:style w:type="paragraph" w:styleId="IntenseQuote">
    <w:name w:val="Intense Quote"/>
    <w:basedOn w:val="Normal"/>
    <w:next w:val="Normal"/>
    <w:link w:val="IntenseQuoteChar"/>
    <w:uiPriority w:val="30"/>
    <w:qFormat/>
    <w:rsid w:val="00C56A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6A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6ABE"/>
    <w:rPr>
      <w:smallCaps/>
      <w:color w:val="auto"/>
      <w:u w:val="single"/>
    </w:rPr>
  </w:style>
  <w:style w:type="character" w:styleId="IntenseReference">
    <w:name w:val="Intense Reference"/>
    <w:basedOn w:val="DefaultParagraphFont"/>
    <w:uiPriority w:val="32"/>
    <w:qFormat/>
    <w:rsid w:val="00C56ABE"/>
    <w:rPr>
      <w:b/>
      <w:bCs/>
      <w:smallCaps/>
      <w:color w:val="auto"/>
      <w:spacing w:val="5"/>
      <w:u w:val="single"/>
    </w:rPr>
  </w:style>
  <w:style w:type="paragraph" w:customStyle="1" w:styleId="2ColumnHeading">
    <w:name w:val="2Column Heading"/>
    <w:basedOn w:val="BodyText"/>
    <w:qFormat/>
    <w:rsid w:val="00C56ABE"/>
    <w:pPr>
      <w:spacing w:after="60"/>
      <w:ind w:left="-2268"/>
    </w:pPr>
    <w:rPr>
      <w:b/>
    </w:rPr>
  </w:style>
  <w:style w:type="paragraph" w:customStyle="1" w:styleId="Heading1TOC">
    <w:name w:val="Heading1 TOC"/>
    <w:basedOn w:val="Normal"/>
    <w:qFormat/>
    <w:rsid w:val="00C56ABE"/>
    <w:pPr>
      <w:spacing w:before="240" w:after="120"/>
    </w:pPr>
    <w:rPr>
      <w:rFonts w:ascii="Times New Roman" w:hAnsi="Times New Roman"/>
      <w:b/>
      <w:sz w:val="32"/>
    </w:rPr>
  </w:style>
  <w:style w:type="paragraph" w:customStyle="1" w:styleId="Heading2TOC">
    <w:name w:val="Heading2 TOC"/>
    <w:basedOn w:val="Normal"/>
    <w:qFormat/>
    <w:rsid w:val="00C56ABE"/>
    <w:pPr>
      <w:spacing w:before="240" w:after="60"/>
    </w:pPr>
    <w:rPr>
      <w:rFonts w:ascii="Times New Roman" w:hAnsi="Times New Roman"/>
      <w:b/>
      <w:sz w:val="28"/>
    </w:rPr>
  </w:style>
  <w:style w:type="character" w:customStyle="1" w:styleId="Underline">
    <w:name w:val="Underline"/>
    <w:basedOn w:val="DefaultParagraphFont"/>
    <w:qFormat/>
    <w:rsid w:val="00C56ABE"/>
    <w:rPr>
      <w:u w:val="single"/>
    </w:rPr>
  </w:style>
  <w:style w:type="paragraph" w:styleId="BalloonText">
    <w:name w:val="Balloon Text"/>
    <w:basedOn w:val="Normal"/>
    <w:link w:val="BalloonTextChar"/>
    <w:rsid w:val="00C56ABE"/>
    <w:rPr>
      <w:rFonts w:ascii="Tahoma" w:hAnsi="Tahoma" w:cs="Tahoma"/>
      <w:sz w:val="16"/>
      <w:szCs w:val="16"/>
    </w:rPr>
  </w:style>
  <w:style w:type="character" w:customStyle="1" w:styleId="BalloonTextChar">
    <w:name w:val="Balloon Text Char"/>
    <w:basedOn w:val="DefaultParagraphFont"/>
    <w:link w:val="BalloonText"/>
    <w:rsid w:val="00C56A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6A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6A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1288</Words>
  <Characters>8287</Characters>
  <Application>Microsoft Office Word</Application>
  <DocSecurity>0</DocSecurity>
  <Lines>417</Lines>
  <Paragraphs>221</Paragraphs>
  <ScaleCrop>false</ScaleCrop>
  <Company>Author-it Software Corporation Ltd.</Company>
  <LinksUpToDate>false</LinksUpToDate>
  <CharactersWithSpaces>9476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SIFMWK001A Encoffin the deceased person</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2012-05-26T21:34:00Z</dcterms:created>
  <dcterms:modified xsi:type="dcterms:W3CDTF">2012-05-26T21:34:00Z</dcterms:modified>
</cp:coreProperties>
</file>