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CA4" w:rsidP="00D83CA4">
      <w:pPr>
        <w:pStyle w:val="Title"/>
      </w:pPr>
      <w:r>
        <w:fldChar w:fldCharType="begin"/>
      </w:r>
      <w:r>
        <w:instrText xml:space="preserve"> TITLE   \* MERGEFORMAT </w:instrText>
      </w:r>
      <w:r>
        <w:fldChar w:fldCharType="separate"/>
      </w:r>
      <w:r>
        <w:t>SIFBCR020A Dig a grave manually</w:t>
      </w:r>
      <w:r>
        <w:fldChar w:fldCharType="end"/>
      </w:r>
    </w:p>
    <w:p w:rsidR="00D83CA4" w:rsidP="00D83CA4">
      <w:pPr>
        <w:pStyle w:val="Version"/>
        <w:sectPr w:rsidSect="003640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6403E" w:rsidP="0036403E">
      <w:pPr>
        <w:pStyle w:val="SuperHeading"/>
      </w:pPr>
      <w:r w:rsidRPr="0036403E">
        <w:t>SIFBCR020A Dig a grave manually</w:t>
      </w:r>
    </w:p>
    <w:p w:rsidR="00000000" w:rsidRPr="0036403E" w:rsidP="0036403E">
      <w:pPr>
        <w:pStyle w:val="SuperHeading"/>
      </w:pPr>
    </w:p>
    <w:p w:rsidR="00000000" w:rsidRPr="0036403E" w:rsidP="0036403E">
      <w:pPr>
        <w:pStyle w:val="Heading1"/>
      </w:pPr>
      <w:bookmarkStart w:id="1" w:name="O_136431"/>
      <w:bookmarkEnd w:id="1"/>
      <w:r w:rsidRPr="0036403E">
        <w:t>Modification History</w:t>
      </w:r>
    </w:p>
    <w:p w:rsidR="00000000" w:rsidRPr="0036403E" w:rsidP="0036403E">
      <w:pPr>
        <w:pStyle w:val="BodyText"/>
      </w:pPr>
      <w:r w:rsidRPr="0036403E">
        <w:t>Not applicable.</w:t>
      </w:r>
    </w:p>
    <w:p w:rsidR="00000000" w:rsidRPr="0036403E" w:rsidP="0036403E">
      <w:pPr>
        <w:pStyle w:val="AllowPageBreak"/>
      </w:pPr>
    </w:p>
    <w:p w:rsidR="00000000" w:rsidRPr="0036403E" w:rsidP="0036403E">
      <w:pPr>
        <w:pStyle w:val="Heading1"/>
      </w:pPr>
      <w:bookmarkStart w:id="2" w:name="O_136432"/>
      <w:bookmarkEnd w:id="2"/>
      <w:r w:rsidRPr="0036403E">
        <w:t>Unit Descriptor</w:t>
      </w:r>
    </w:p>
    <w:tbl>
      <w:tblPr>
        <w:tblW w:w="0" w:type="auto"/>
        <w:tblLayout w:type="fixed"/>
        <w:tblCellMar>
          <w:left w:w="62" w:type="dxa"/>
          <w:right w:w="62" w:type="dxa"/>
        </w:tblCellMar>
        <w:tblLook w:val="0000"/>
      </w:tblPr>
      <w:tblGrid>
        <w:gridCol w:w="2836"/>
        <w:gridCol w:w="6344"/>
      </w:tblGrid>
      <w:tr w:rsidTr="00D83CA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t>This unit describes the performance outcomes, skills and knowledge required to manually dig and re-open graves in a saf</w:t>
            </w:r>
            <w:r w:rsidRPr="0036403E">
              <w:t>e manner and assess gravesites to minimise the risk of grave collapse.</w:t>
            </w:r>
          </w:p>
        </w:tc>
      </w:tr>
      <w:tr w:rsidTr="00D83CA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6403E" w:rsidP="0036403E">
            <w:pPr>
              <w:pStyle w:val="BodyText"/>
            </w:pPr>
          </w:p>
        </w:tc>
      </w:tr>
    </w:tbl>
    <w:p w:rsidR="00000000" w:rsidRPr="0036403E" w:rsidP="0036403E">
      <w:pPr>
        <w:pStyle w:val="BodyText"/>
      </w:pPr>
    </w:p>
    <w:p w:rsidR="00000000" w:rsidRPr="0036403E" w:rsidP="0036403E">
      <w:pPr>
        <w:pStyle w:val="AllowPageBreak"/>
      </w:pPr>
    </w:p>
    <w:p w:rsidR="00000000" w:rsidRPr="0036403E" w:rsidP="0036403E">
      <w:pPr>
        <w:pStyle w:val="Heading1"/>
      </w:pPr>
      <w:bookmarkStart w:id="3" w:name="O_136433"/>
      <w:bookmarkEnd w:id="3"/>
      <w:r w:rsidRPr="0036403E">
        <w:t>Application of the Unit</w:t>
      </w:r>
    </w:p>
    <w:tbl>
      <w:tblPr>
        <w:tblW w:w="0" w:type="auto"/>
        <w:tblLayout w:type="fixed"/>
        <w:tblCellMar>
          <w:left w:w="62" w:type="dxa"/>
          <w:right w:w="62" w:type="dxa"/>
        </w:tblCellMar>
        <w:tblLook w:val="0000"/>
      </w:tblPr>
      <w:tblGrid>
        <w:gridCol w:w="2836"/>
        <w:gridCol w:w="6344"/>
      </w:tblGrid>
      <w:tr w:rsidTr="00D83CA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t>This unit applies to cemetery staff involved in burial works. It requires the application of manual skills to re-open or dig a grave according to legislative and workplace requirements. It involves working under supervision as part of a team with some resp</w:t>
            </w:r>
            <w:r w:rsidRPr="0036403E">
              <w:t>onsibility.</w:t>
            </w:r>
          </w:p>
        </w:tc>
      </w:tr>
      <w:tr w:rsidTr="00D83CA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6403E" w:rsidP="0036403E">
            <w:pPr>
              <w:pStyle w:val="BodyText"/>
            </w:pPr>
          </w:p>
        </w:tc>
      </w:tr>
    </w:tbl>
    <w:p w:rsidR="00000000" w:rsidRPr="0036403E" w:rsidP="0036403E">
      <w:pPr>
        <w:pStyle w:val="BodyText"/>
      </w:pPr>
    </w:p>
    <w:p w:rsidR="00000000" w:rsidRPr="0036403E" w:rsidP="0036403E">
      <w:pPr>
        <w:pStyle w:val="AllowPageBreak"/>
      </w:pPr>
    </w:p>
    <w:p w:rsidR="00000000" w:rsidRPr="0036403E" w:rsidP="0036403E">
      <w:pPr>
        <w:pStyle w:val="Heading1"/>
      </w:pPr>
      <w:bookmarkStart w:id="4" w:name="O_136434"/>
      <w:bookmarkEnd w:id="4"/>
      <w:r w:rsidRPr="0036403E">
        <w:t>Licensing/Regulatory Information</w:t>
      </w:r>
    </w:p>
    <w:p w:rsidR="00000000" w:rsidRPr="0036403E" w:rsidP="0036403E">
      <w:pPr>
        <w:pStyle w:val="BodyText"/>
      </w:pPr>
      <w:r w:rsidRPr="0036403E">
        <w:t>Not applicable.</w:t>
      </w:r>
    </w:p>
    <w:p w:rsidR="00000000" w:rsidRPr="0036403E" w:rsidP="0036403E">
      <w:pPr>
        <w:pStyle w:val="AllowPageBreak"/>
      </w:pPr>
    </w:p>
    <w:p w:rsidR="00000000" w:rsidRPr="0036403E" w:rsidP="0036403E">
      <w:pPr>
        <w:pStyle w:val="Heading1"/>
      </w:pPr>
      <w:bookmarkStart w:id="5" w:name="O_136436"/>
      <w:bookmarkEnd w:id="5"/>
      <w:r w:rsidRPr="0036403E">
        <w:t>Pre-Requisites</w:t>
      </w:r>
    </w:p>
    <w:tbl>
      <w:tblPr>
        <w:tblW w:w="0" w:type="auto"/>
        <w:tblLayout w:type="fixed"/>
        <w:tblCellMar>
          <w:left w:w="62" w:type="dxa"/>
          <w:right w:w="62" w:type="dxa"/>
        </w:tblCellMar>
        <w:tblLook w:val="0000"/>
      </w:tblPr>
      <w:tblGrid>
        <w:gridCol w:w="2836"/>
        <w:gridCol w:w="6344"/>
      </w:tblGrid>
      <w:tr w:rsidTr="00D83CA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36403E">
            <w:pPr>
              <w:pStyle w:val="ListBullet"/>
              <w:rPr>
                <w:lang w:val="en-NZ"/>
              </w:rPr>
            </w:pPr>
            <w:r w:rsidRPr="0036403E">
              <w:t>SIFOHS007A Identify hazards and assess risks in a cemetery or crematorium</w:t>
            </w:r>
          </w:p>
        </w:tc>
      </w:tr>
      <w:tr w:rsidTr="00D83CA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6403E" w:rsidP="0036403E">
            <w:pPr>
              <w:pStyle w:val="BodyText"/>
            </w:pPr>
          </w:p>
        </w:tc>
      </w:tr>
    </w:tbl>
    <w:p w:rsidR="00000000" w:rsidRPr="0036403E" w:rsidP="0036403E">
      <w:pPr>
        <w:pStyle w:val="BodyText"/>
      </w:pPr>
    </w:p>
    <w:p w:rsidR="00000000" w:rsidRPr="0036403E" w:rsidP="0036403E">
      <w:pPr>
        <w:pStyle w:val="AllowPageBreak"/>
      </w:pPr>
    </w:p>
    <w:p w:rsidR="00000000" w:rsidRPr="0036403E" w:rsidP="0036403E">
      <w:pPr>
        <w:pStyle w:val="Heading1"/>
      </w:pPr>
      <w:bookmarkStart w:id="6" w:name="O_136435"/>
      <w:bookmarkEnd w:id="6"/>
      <w:r w:rsidRPr="0036403E">
        <w:t>Employability Skills Information</w:t>
      </w:r>
    </w:p>
    <w:tbl>
      <w:tblPr>
        <w:tblW w:w="0" w:type="auto"/>
        <w:tblLayout w:type="fixed"/>
        <w:tblCellMar>
          <w:left w:w="62" w:type="dxa"/>
          <w:right w:w="62" w:type="dxa"/>
        </w:tblCellMar>
        <w:tblLook w:val="0000"/>
      </w:tblPr>
      <w:tblGrid>
        <w:gridCol w:w="2836"/>
        <w:gridCol w:w="6344"/>
      </w:tblGrid>
      <w:tr w:rsidTr="00D83CA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t>This unit contains employability skills.</w:t>
            </w:r>
          </w:p>
        </w:tc>
      </w:tr>
      <w:tr w:rsidTr="00D83CA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6403E" w:rsidP="0036403E">
            <w:pPr>
              <w:pStyle w:val="BodyText"/>
            </w:pPr>
          </w:p>
        </w:tc>
      </w:tr>
    </w:tbl>
    <w:p w:rsidR="00000000" w:rsidRPr="0036403E" w:rsidP="0036403E">
      <w:pPr>
        <w:pStyle w:val="BodyText"/>
      </w:pPr>
    </w:p>
    <w:p w:rsidR="00000000" w:rsidRPr="0036403E" w:rsidP="0036403E">
      <w:pPr>
        <w:pStyle w:val="AllowPageBreak"/>
      </w:pPr>
    </w:p>
    <w:p w:rsidR="00000000" w:rsidRPr="0036403E" w:rsidP="0036403E">
      <w:pPr>
        <w:pStyle w:val="Heading1"/>
      </w:pPr>
      <w:bookmarkStart w:id="7" w:name="O_136437"/>
      <w:bookmarkEnd w:id="7"/>
      <w:r w:rsidRPr="0036403E">
        <w:t>Elements and Performance Criteria Pre-Content</w:t>
      </w:r>
    </w:p>
    <w:tbl>
      <w:tblPr>
        <w:tblW w:w="0" w:type="auto"/>
        <w:tblLayout w:type="fixed"/>
        <w:tblCellMar>
          <w:left w:w="62" w:type="dxa"/>
          <w:right w:w="62" w:type="dxa"/>
        </w:tblCellMar>
        <w:tblLook w:val="0000"/>
      </w:tblPr>
      <w:tblGrid>
        <w:gridCol w:w="2836"/>
        <w:gridCol w:w="6344"/>
      </w:tblGrid>
      <w:tr w:rsidTr="00D83CA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36403E" w:rsidP="0036403E">
            <w:pPr>
              <w:pStyle w:val="BodyText"/>
            </w:pPr>
            <w:r w:rsidRPr="0036403E">
              <w:t>Performance criteria descri</w:t>
            </w:r>
            <w:r w:rsidRPr="0036403E">
              <w:t>be the required performance needed to demonstrate achievement of the element. Where bold italicised text is used, further information is detailed in the required skills and knowledge and/or the range statement. Assessment of performance is to be consistent</w:t>
            </w:r>
            <w:r w:rsidRPr="0036403E">
              <w:t xml:space="preserve"> with the evidence guide.</w:t>
            </w:r>
          </w:p>
        </w:tc>
      </w:tr>
    </w:tbl>
    <w:p w:rsidR="00000000" w:rsidRPr="0036403E" w:rsidP="0036403E">
      <w:pPr>
        <w:pStyle w:val="BodyText"/>
      </w:pPr>
    </w:p>
    <w:p w:rsidR="00000000" w:rsidRPr="0036403E" w:rsidP="0036403E">
      <w:pPr>
        <w:pStyle w:val="AllowPageBreak"/>
      </w:pPr>
    </w:p>
    <w:p w:rsidR="00000000" w:rsidRPr="0036403E" w:rsidP="0036403E">
      <w:pPr>
        <w:pStyle w:val="Heading1"/>
      </w:pPr>
      <w:bookmarkStart w:id="8" w:name="O_136438"/>
      <w:bookmarkEnd w:id="8"/>
      <w:r w:rsidRPr="0036403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D83CA4">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36403E" w:rsidP="0036403E">
            <w:pPr>
              <w:pStyle w:val="List"/>
            </w:pPr>
            <w:r w:rsidRPr="0036403E">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rPr>
                <w:rStyle w:val="SpecialBold"/>
              </w:rPr>
              <w:t>PERFORMANCE CRITERIA</w:t>
            </w:r>
          </w:p>
        </w:tc>
      </w:tr>
      <w:tr w:rsidTr="00D83CA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p>
        </w:tc>
      </w:tr>
      <w:tr w:rsidTr="00D83CA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1</w:t>
            </w:r>
          </w:p>
        </w:tc>
        <w:tc>
          <w:tcPr>
            <w:tcW w:w="2410" w:type="dxa"/>
            <w:vMerge w:val="restart"/>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Conduct manual grave excavation and shoring.</w:t>
            </w:r>
          </w:p>
        </w:tc>
        <w:tc>
          <w:tcPr>
            <w:tcW w:w="56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1.1</w:t>
            </w:r>
          </w:p>
        </w:tc>
        <w:tc>
          <w:tcPr>
            <w:tcW w:w="577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 xml:space="preserve">Determine </w:t>
            </w:r>
            <w:r w:rsidRPr="0036403E">
              <w:rPr>
                <w:rStyle w:val="BoldandItalics"/>
              </w:rPr>
              <w:t>gravedigging requirement</w:t>
            </w:r>
            <w:r w:rsidRPr="0036403E">
              <w:t xml:space="preserve"> according to work requirements, risk assessment and </w:t>
            </w:r>
            <w:r w:rsidRPr="0036403E">
              <w:rPr>
                <w:rStyle w:val="BoldandItalics"/>
              </w:rPr>
              <w:t>relevant legislation and regulations</w:t>
            </w:r>
            <w:r w:rsidRPr="0036403E">
              <w:t>.</w:t>
            </w:r>
          </w:p>
        </w:tc>
      </w:tr>
      <w:tr w:rsidTr="00D83CA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1.2</w:t>
            </w:r>
          </w:p>
        </w:tc>
        <w:tc>
          <w:tcPr>
            <w:tcW w:w="577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Identify and locate gravesite according to cemetery map or plan and physical location.</w:t>
            </w:r>
          </w:p>
        </w:tc>
      </w:tr>
      <w:tr w:rsidTr="00D83CA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1.3</w:t>
            </w:r>
          </w:p>
        </w:tc>
        <w:tc>
          <w:tcPr>
            <w:tcW w:w="577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 xml:space="preserve">Select and prepare </w:t>
            </w:r>
            <w:r w:rsidRPr="0036403E">
              <w:rPr>
                <w:rStyle w:val="BoldandItalics"/>
              </w:rPr>
              <w:t>personal protective equipment</w:t>
            </w:r>
            <w:r w:rsidRPr="0036403E">
              <w:t xml:space="preserve"> according to relevant legislation and </w:t>
            </w:r>
            <w:r w:rsidRPr="0036403E">
              <w:rPr>
                <w:rStyle w:val="BoldandItalics"/>
              </w:rPr>
              <w:t>workplace policies and procedures</w:t>
            </w:r>
            <w:r w:rsidRPr="0036403E">
              <w:t>.</w:t>
            </w:r>
          </w:p>
        </w:tc>
      </w:tr>
      <w:tr w:rsidTr="00D83CA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1.4</w:t>
            </w:r>
          </w:p>
        </w:tc>
        <w:tc>
          <w:tcPr>
            <w:tcW w:w="577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 xml:space="preserve">Assess </w:t>
            </w:r>
            <w:r w:rsidRPr="0036403E">
              <w:rPr>
                <w:rStyle w:val="BoldandItalics"/>
              </w:rPr>
              <w:t>grave shoring requirements</w:t>
            </w:r>
            <w:r w:rsidRPr="0036403E">
              <w:t xml:space="preserve"> according to workplace policies and procedures, and relevant legislation.</w:t>
            </w:r>
          </w:p>
        </w:tc>
      </w:tr>
      <w:tr w:rsidTr="00D83CA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1.5</w:t>
            </w:r>
          </w:p>
        </w:tc>
        <w:tc>
          <w:tcPr>
            <w:tcW w:w="577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 xml:space="preserve">Manually dig grave according to dimensions of coffin or casket using appropriate </w:t>
            </w:r>
            <w:r w:rsidRPr="0036403E">
              <w:rPr>
                <w:rStyle w:val="BoldandItalics"/>
              </w:rPr>
              <w:t>tools and equipmen</w:t>
            </w:r>
            <w:r w:rsidRPr="0036403E">
              <w:rPr>
                <w:rStyle w:val="BoldandItalics"/>
              </w:rPr>
              <w:t>t</w:t>
            </w:r>
            <w:r w:rsidRPr="0036403E">
              <w:t xml:space="preserve"> in accordance with relevant legislation and workplace policies and procedures.</w:t>
            </w:r>
          </w:p>
        </w:tc>
      </w:tr>
      <w:tr w:rsidTr="00D83CA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1.6</w:t>
            </w:r>
          </w:p>
        </w:tc>
        <w:tc>
          <w:tcPr>
            <w:tcW w:w="577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 xml:space="preserve">Identify and apply workplace procedures for </w:t>
            </w:r>
            <w:r w:rsidRPr="0036403E">
              <w:rPr>
                <w:rStyle w:val="BoldandItalics"/>
              </w:rPr>
              <w:t>safe storage of displaced earth</w:t>
            </w:r>
            <w:r w:rsidRPr="0036403E">
              <w:t xml:space="preserve"> or removal from site. </w:t>
            </w:r>
          </w:p>
        </w:tc>
      </w:tr>
      <w:tr w:rsidTr="00D83CA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1.7</w:t>
            </w:r>
          </w:p>
        </w:tc>
        <w:tc>
          <w:tcPr>
            <w:tcW w:w="577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 xml:space="preserve">Undertake </w:t>
            </w:r>
            <w:r w:rsidRPr="0036403E">
              <w:rPr>
                <w:rStyle w:val="BoldandItalics"/>
              </w:rPr>
              <w:t>progressive grave shoring requirements</w:t>
            </w:r>
            <w:r w:rsidRPr="0036403E">
              <w:t xml:space="preserve"> according </w:t>
            </w:r>
            <w:r w:rsidRPr="0036403E">
              <w:t xml:space="preserve">to job requirement using safe and appropriate </w:t>
            </w:r>
            <w:r w:rsidRPr="0036403E">
              <w:rPr>
                <w:rStyle w:val="BoldandItalics"/>
              </w:rPr>
              <w:t>shoring method</w:t>
            </w:r>
            <w:r w:rsidRPr="0036403E">
              <w:t xml:space="preserve">. </w:t>
            </w:r>
          </w:p>
        </w:tc>
      </w:tr>
      <w:tr w:rsidTr="00D83CA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1.8</w:t>
            </w:r>
          </w:p>
        </w:tc>
        <w:tc>
          <w:tcPr>
            <w:tcW w:w="577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Maintain above and below ground communication with other team members.</w:t>
            </w:r>
          </w:p>
        </w:tc>
      </w:tr>
      <w:tr w:rsidTr="00D83CA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p>
        </w:tc>
      </w:tr>
      <w:tr w:rsidTr="00D83CA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2</w:t>
            </w:r>
          </w:p>
        </w:tc>
        <w:tc>
          <w:tcPr>
            <w:tcW w:w="2410" w:type="dxa"/>
            <w:vMerge w:val="restart"/>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Minimise risk of grave collapse.</w:t>
            </w:r>
          </w:p>
        </w:tc>
        <w:tc>
          <w:tcPr>
            <w:tcW w:w="56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2.1</w:t>
            </w:r>
          </w:p>
        </w:tc>
        <w:tc>
          <w:tcPr>
            <w:tcW w:w="577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Maintain safe surface loadings according to soil type and condition.</w:t>
            </w:r>
          </w:p>
        </w:tc>
      </w:tr>
      <w:tr w:rsidTr="00D83CA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2.2</w:t>
            </w:r>
          </w:p>
        </w:tc>
        <w:tc>
          <w:tcPr>
            <w:tcW w:w="577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 xml:space="preserve">Constantly monitor excavation for </w:t>
            </w:r>
            <w:r w:rsidRPr="0036403E">
              <w:rPr>
                <w:rStyle w:val="BoldandItalics"/>
              </w:rPr>
              <w:t>grave collapse warning signs</w:t>
            </w:r>
            <w:r w:rsidRPr="0036403E">
              <w:t xml:space="preserve">. </w:t>
            </w:r>
          </w:p>
        </w:tc>
      </w:tr>
      <w:tr w:rsidTr="00D83CA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2.3</w:t>
            </w:r>
          </w:p>
        </w:tc>
        <w:tc>
          <w:tcPr>
            <w:tcW w:w="577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 xml:space="preserve">Take appropriate </w:t>
            </w:r>
            <w:r w:rsidRPr="0036403E">
              <w:rPr>
                <w:rStyle w:val="BoldandItalics"/>
              </w:rPr>
              <w:t>corrective or emergency action</w:t>
            </w:r>
            <w:r w:rsidRPr="0036403E">
              <w:t xml:space="preserve"> according to relevant legislation and workplace policies and procedures.</w:t>
            </w:r>
          </w:p>
        </w:tc>
      </w:tr>
      <w:tr w:rsidTr="00D83CA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p>
        </w:tc>
      </w:tr>
      <w:tr w:rsidTr="00D83CA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3</w:t>
            </w:r>
          </w:p>
        </w:tc>
        <w:tc>
          <w:tcPr>
            <w:tcW w:w="2410" w:type="dxa"/>
            <w:vMerge w:val="restart"/>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Clean up and make safe open gravesite.</w:t>
            </w:r>
          </w:p>
        </w:tc>
        <w:tc>
          <w:tcPr>
            <w:tcW w:w="56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3.1</w:t>
            </w:r>
          </w:p>
        </w:tc>
        <w:tc>
          <w:tcPr>
            <w:tcW w:w="577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Cover surface area from edge of excavation to ensure soil integrity and stability and to provide safe work area for funeral.</w:t>
            </w:r>
          </w:p>
        </w:tc>
      </w:tr>
      <w:tr w:rsidTr="00D83CA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3.2</w:t>
            </w:r>
          </w:p>
        </w:tc>
        <w:tc>
          <w:tcPr>
            <w:tcW w:w="577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Place grave supports and lowering devices in readiness for coffin or casket according to work requirements.</w:t>
            </w:r>
          </w:p>
        </w:tc>
      </w:tr>
      <w:tr w:rsidTr="00D83CA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3.3</w:t>
            </w:r>
          </w:p>
        </w:tc>
        <w:tc>
          <w:tcPr>
            <w:tcW w:w="577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Clean are</w:t>
            </w:r>
            <w:r w:rsidRPr="0036403E">
              <w:t>a adjacent to grave and remove earth according to workplace policies and procedures to ensure safety of funeral work area.</w:t>
            </w:r>
          </w:p>
        </w:tc>
      </w:tr>
      <w:tr w:rsidTr="00D83CA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6403E">
            <w:pPr>
              <w:pStyle w:val="List"/>
              <w:rPr>
                <w:lang w:val="en-NZ"/>
              </w:rPr>
            </w:pPr>
            <w:r w:rsidRPr="0036403E">
              <w:t>3.4</w:t>
            </w:r>
          </w:p>
        </w:tc>
        <w:tc>
          <w:tcPr>
            <w:tcW w:w="5777" w:type="dxa"/>
            <w:tcBorders>
              <w:top w:val="nil"/>
              <w:left w:val="nil"/>
              <w:bottom w:val="nil"/>
              <w:right w:val="nil"/>
            </w:tcBorders>
            <w:tcMar>
              <w:top w:w="0" w:type="dxa"/>
              <w:left w:w="62" w:type="dxa"/>
              <w:bottom w:w="0" w:type="dxa"/>
              <w:right w:w="62" w:type="dxa"/>
            </w:tcMar>
          </w:tcPr>
          <w:p w:rsidR="00000000" w:rsidRPr="0036403E" w:rsidP="0036403E">
            <w:pPr>
              <w:pStyle w:val="List"/>
            </w:pPr>
            <w:r w:rsidRPr="0036403E">
              <w:t xml:space="preserve">Place </w:t>
            </w:r>
            <w:r w:rsidRPr="0036403E">
              <w:rPr>
                <w:rStyle w:val="BoldandItalics"/>
              </w:rPr>
              <w:t>protective restraints</w:t>
            </w:r>
            <w:r w:rsidRPr="0036403E">
              <w:t xml:space="preserve"> to ensure access by authorised </w:t>
            </w:r>
            <w:r w:rsidRPr="0036403E">
              <w:t>personnel only, according to relevant legislation and workplace policies and procedures.</w:t>
            </w:r>
          </w:p>
        </w:tc>
      </w:tr>
    </w:tbl>
    <w:p w:rsidR="00000000" w:rsidRPr="0036403E" w:rsidP="0036403E">
      <w:pPr>
        <w:pStyle w:val="BodyText"/>
      </w:pPr>
    </w:p>
    <w:p w:rsidR="00000000" w:rsidRPr="0036403E" w:rsidP="0036403E">
      <w:pPr>
        <w:pStyle w:val="AllowPageBreak"/>
      </w:pPr>
    </w:p>
    <w:p w:rsidR="00000000" w:rsidRPr="0036403E" w:rsidP="0036403E">
      <w:pPr>
        <w:pStyle w:val="Heading1"/>
      </w:pPr>
      <w:bookmarkStart w:id="9" w:name="O_136439"/>
      <w:bookmarkEnd w:id="9"/>
      <w:r w:rsidRPr="0036403E">
        <w:t>Required Skills and Knowledge</w:t>
      </w:r>
    </w:p>
    <w:tbl>
      <w:tblPr>
        <w:tblW w:w="0" w:type="auto"/>
        <w:tblLayout w:type="fixed"/>
        <w:tblCellMar>
          <w:left w:w="62" w:type="dxa"/>
          <w:right w:w="62" w:type="dxa"/>
        </w:tblCellMar>
        <w:tblLook w:val="0000"/>
      </w:tblPr>
      <w:tblGrid>
        <w:gridCol w:w="9180"/>
      </w:tblGrid>
      <w:tr w:rsidTr="00D83CA4">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rPr>
                <w:rStyle w:val="SpecialBold"/>
              </w:rPr>
              <w:t>REQUIRED SKILLS AND KNOWLEDGE</w:t>
            </w:r>
          </w:p>
        </w:tc>
      </w:tr>
      <w:tr w:rsidTr="00D83CA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t>This section describes the skills and knowledge required for this unit.</w:t>
            </w:r>
          </w:p>
        </w:tc>
      </w:tr>
      <w:tr w:rsidTr="00D83CA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rPr>
                <w:rStyle w:val="SpecialBold"/>
              </w:rPr>
              <w:t>Required skills</w:t>
            </w:r>
          </w:p>
        </w:tc>
      </w:tr>
      <w:tr w:rsidTr="00D83CA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6403E" w:rsidP="0036403E">
            <w:pPr>
              <w:pStyle w:val="ListBullet"/>
            </w:pPr>
            <w:r w:rsidRPr="0036403E">
              <w:t>manual gravedigging skills, including safe and appropriate use of relevant tools and equipment</w:t>
            </w:r>
          </w:p>
          <w:p w:rsidR="00000000" w:rsidRPr="0036403E" w:rsidP="0036403E">
            <w:pPr>
              <w:pStyle w:val="ListBullet"/>
            </w:pPr>
            <w:r w:rsidRPr="0036403E">
              <w:t>shoring skills appropriate to re-opening and digging a grave</w:t>
            </w:r>
          </w:p>
          <w:p w:rsidR="00000000" w:rsidRPr="0036403E" w:rsidP="0036403E">
            <w:pPr>
              <w:pStyle w:val="ListBullet"/>
            </w:pPr>
            <w:r w:rsidRPr="0036403E">
              <w:t>communication skills, including active listening and questioning techniques and cl</w:t>
            </w:r>
            <w:r w:rsidRPr="0036403E">
              <w:t>ear and direct communication to determine, clarify and inform team members of work requirements and ensure safety of site and personnel</w:t>
            </w:r>
          </w:p>
          <w:p w:rsidR="00000000" w:rsidP="0036403E">
            <w:pPr>
              <w:pStyle w:val="ListBullet"/>
              <w:rPr>
                <w:lang w:val="en-NZ"/>
              </w:rPr>
            </w:pPr>
            <w:r w:rsidRPr="0036403E">
              <w:t>literacy and numeracy skills to read and interpret relevant documentation, plans and drawings and to measure gravesite d</w:t>
            </w:r>
            <w:r w:rsidRPr="0036403E">
              <w:t>imensions and shoring requirements.</w:t>
            </w:r>
          </w:p>
        </w:tc>
      </w:tr>
      <w:tr w:rsidTr="00D83CA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p>
        </w:tc>
      </w:tr>
      <w:tr w:rsidTr="00D83CA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36403E" w:rsidP="0036403E">
            <w:pPr>
              <w:pStyle w:val="BodyText"/>
            </w:pPr>
            <w:r w:rsidRPr="0036403E">
              <w:rPr>
                <w:rStyle w:val="SpecialBold"/>
              </w:rPr>
              <w:t>Required knowledge</w:t>
            </w:r>
          </w:p>
          <w:p w:rsidR="00000000" w:rsidRPr="0036403E" w:rsidP="0036403E">
            <w:pPr>
              <w:pStyle w:val="ListBullet"/>
            </w:pPr>
            <w:r w:rsidRPr="0036403E">
              <w:t>corrective or emergency actions in relation to grave collapse</w:t>
            </w:r>
          </w:p>
          <w:p w:rsidR="00000000" w:rsidRPr="0036403E" w:rsidP="0036403E">
            <w:pPr>
              <w:pStyle w:val="ListBullet"/>
            </w:pPr>
            <w:r w:rsidRPr="0036403E">
              <w:t>broad working knowledge of relevant federal, state or territory, and local government legislation and regulations relating to OHS and g</w:t>
            </w:r>
            <w:r w:rsidRPr="0036403E">
              <w:t>ravedigging</w:t>
            </w:r>
          </w:p>
          <w:p w:rsidR="00000000" w:rsidRPr="0036403E" w:rsidP="0036403E">
            <w:pPr>
              <w:pStyle w:val="ListBullet"/>
            </w:pPr>
            <w:r w:rsidRPr="0036403E">
              <w:t>workplace policies and procedures to maintain safety requirements</w:t>
            </w:r>
          </w:p>
          <w:p w:rsidR="00000000" w:rsidRPr="0036403E" w:rsidP="0036403E">
            <w:pPr>
              <w:pStyle w:val="ListBullet"/>
            </w:pPr>
            <w:r w:rsidRPr="0036403E">
              <w:t>personal protective clothing and equipment</w:t>
            </w:r>
          </w:p>
          <w:p w:rsidR="00000000" w:rsidRPr="0036403E" w:rsidP="0036403E">
            <w:pPr>
              <w:pStyle w:val="ListBullet"/>
            </w:pPr>
            <w:r w:rsidRPr="0036403E">
              <w:t>safe operation of relevant tools and equipment</w:t>
            </w:r>
          </w:p>
          <w:p w:rsidR="00000000" w:rsidRPr="0036403E" w:rsidP="0036403E">
            <w:pPr>
              <w:pStyle w:val="ListBullet"/>
            </w:pPr>
            <w:r w:rsidRPr="0036403E">
              <w:t>soil types and conditions relevant to shoring requirements</w:t>
            </w:r>
          </w:p>
          <w:p w:rsidR="00000000" w:rsidRPr="0036403E" w:rsidP="0036403E">
            <w:pPr>
              <w:pStyle w:val="ListBullet"/>
            </w:pPr>
            <w:r w:rsidRPr="0036403E">
              <w:t>risk assessment procedures.</w:t>
            </w:r>
          </w:p>
        </w:tc>
      </w:tr>
    </w:tbl>
    <w:p w:rsidR="00D83CA4" w:rsidP="0036403E">
      <w:pPr>
        <w:pStyle w:val="BodyText"/>
      </w:pPr>
    </w:p>
    <w:p w:rsidR="00D83CA4" w:rsidP="0036403E">
      <w:pPr>
        <w:pStyle w:val="BodyText"/>
      </w:pPr>
    </w:p>
    <w:p w:rsidR="00000000" w:rsidRPr="0036403E" w:rsidP="0036403E">
      <w:pPr>
        <w:pStyle w:val="Heading1"/>
      </w:pPr>
      <w:bookmarkStart w:id="10" w:name="O_136440"/>
      <w:bookmarkEnd w:id="10"/>
      <w:r w:rsidRPr="0036403E">
        <w:t>Evidence Guide</w:t>
      </w:r>
    </w:p>
    <w:tbl>
      <w:tblPr>
        <w:tblW w:w="0" w:type="auto"/>
        <w:tblLayout w:type="fixed"/>
        <w:tblCellMar>
          <w:left w:w="62" w:type="dxa"/>
          <w:right w:w="62" w:type="dxa"/>
        </w:tblCellMar>
        <w:tblLook w:val="0000"/>
      </w:tblPr>
      <w:tblGrid>
        <w:gridCol w:w="3345"/>
        <w:gridCol w:w="5835"/>
      </w:tblGrid>
      <w:tr w:rsidTr="00D83CA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rPr>
                <w:rStyle w:val="SpecialBold"/>
              </w:rPr>
              <w:t>EVIDENCE GUIDE</w:t>
            </w:r>
          </w:p>
        </w:tc>
      </w:tr>
      <w:tr w:rsidTr="00D83CA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t xml:space="preserve">The evidence guide provides advice on assessment and must be read in conjunction with the performance criteria, required skills and knowledge, range statement and the </w:t>
            </w:r>
            <w:r w:rsidRPr="0036403E">
              <w:t>Assessment Guidelines for the Training Package.</w:t>
            </w:r>
          </w:p>
        </w:tc>
      </w:tr>
      <w:tr w:rsidTr="00D83CA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6403E">
            <w:pPr>
              <w:pStyle w:val="BodyText"/>
              <w:rPr>
                <w:lang w:val="en-NZ"/>
              </w:rPr>
            </w:pP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36403E" w:rsidP="0036403E">
            <w:pPr>
              <w:pStyle w:val="BodyText"/>
            </w:pPr>
            <w:r w:rsidRPr="0036403E">
              <w:t>Evidence of the following is essential:</w:t>
            </w:r>
          </w:p>
          <w:p w:rsidR="00000000" w:rsidRPr="0036403E" w:rsidP="0036403E">
            <w:pPr>
              <w:pStyle w:val="ListBullet"/>
            </w:pPr>
            <w:r w:rsidRPr="0036403E">
              <w:t>ability to select, prepare, use, maintain and clean the  required too</w:t>
            </w:r>
            <w:r w:rsidRPr="0036403E">
              <w:t>ls and equipment according to supervisor instructions, workplace policies and procedures, and manufacturer's instructions</w:t>
            </w:r>
          </w:p>
          <w:p w:rsidR="00000000" w:rsidRPr="0036403E" w:rsidP="0036403E">
            <w:pPr>
              <w:pStyle w:val="ListBullet"/>
            </w:pPr>
            <w:r w:rsidRPr="0036403E">
              <w:t>ability to identify  gravesite location and to assess  safe excavation and shoring requirements for re-opening and manual gravedigging</w:t>
            </w:r>
          </w:p>
          <w:p w:rsidR="00000000" w:rsidRPr="0036403E" w:rsidP="0036403E">
            <w:pPr>
              <w:pStyle w:val="ListBullet"/>
            </w:pPr>
            <w:r w:rsidRPr="0036403E">
              <w:t>constant monitoring of excavation for grave collapse and ability to take immediate corrective actions during manual gravedigging</w:t>
            </w:r>
          </w:p>
          <w:p w:rsidR="00000000" w:rsidP="0036403E">
            <w:pPr>
              <w:pStyle w:val="ListBullet"/>
              <w:rPr>
                <w:lang w:val="en-NZ"/>
              </w:rPr>
            </w:pPr>
            <w:r w:rsidRPr="0036403E">
              <w:t>digging graves manually on multiple occasions to ensure consistency of performance and ability to respond to different situati</w:t>
            </w:r>
            <w:r w:rsidRPr="0036403E">
              <w:t>ons.</w:t>
            </w: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36403E" w:rsidP="0036403E">
            <w:pPr>
              <w:pStyle w:val="BodyText"/>
            </w:pPr>
            <w:r w:rsidRPr="0036403E">
              <w:t>Assessment must ensure:</w:t>
            </w:r>
          </w:p>
          <w:p w:rsidR="00000000" w:rsidRPr="0036403E" w:rsidP="0036403E">
            <w:pPr>
              <w:pStyle w:val="ListBullet"/>
            </w:pPr>
            <w:r w:rsidRPr="0036403E">
              <w:t>demonstration of skills in a cemetery environment that allows for the digging of graves to accommodate required dimensions of coffins or caskets and application of appropria</w:t>
            </w:r>
            <w:r w:rsidRPr="0036403E">
              <w:t>te shoring methods</w:t>
            </w:r>
          </w:p>
          <w:p w:rsidR="00000000" w:rsidRPr="0036403E" w:rsidP="0036403E">
            <w:pPr>
              <w:pStyle w:val="ListBullet"/>
            </w:pPr>
            <w:r w:rsidRPr="0036403E">
              <w:t>access to relevant tools and equipment, including gravedigging tools and personal protective equipment</w:t>
            </w:r>
          </w:p>
          <w:p w:rsidR="00000000" w:rsidRPr="0036403E" w:rsidP="0036403E">
            <w:pPr>
              <w:pStyle w:val="ListBullet"/>
            </w:pPr>
            <w:r w:rsidRPr="0036403E">
              <w:t>access to grave supports, lowering devices and protective restraints.</w:t>
            </w:r>
          </w:p>
          <w:p w:rsidR="00000000" w:rsidP="0036403E">
            <w:pPr>
              <w:pStyle w:val="ListBullet"/>
              <w:rPr>
                <w:lang w:val="en-NZ"/>
              </w:rPr>
            </w:pPr>
            <w:r w:rsidRPr="0036403E">
              <w:t>access to relevant documentation, including cemetery map or plan</w:t>
            </w:r>
            <w:r w:rsidRPr="0036403E">
              <w:t>.</w:t>
            </w: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36403E" w:rsidP="0036403E">
            <w:pPr>
              <w:pStyle w:val="BodyText"/>
            </w:pPr>
            <w:r w:rsidRPr="0036403E">
              <w:t xml:space="preserve">A range of assessment methods should be used to assess practical skills and knowledge. The following examples are appropriate for this unit: </w:t>
            </w:r>
          </w:p>
          <w:p w:rsidR="00000000" w:rsidRPr="0036403E" w:rsidP="0036403E">
            <w:pPr>
              <w:pStyle w:val="ListBullet"/>
            </w:pPr>
            <w:r w:rsidRPr="0036403E">
              <w:t>observation of candidate accessing, shoring and manually digging a new grave</w:t>
            </w:r>
          </w:p>
          <w:p w:rsidR="00000000" w:rsidRPr="0036403E" w:rsidP="0036403E">
            <w:pPr>
              <w:pStyle w:val="ListBullet"/>
            </w:pPr>
            <w:r w:rsidRPr="0036403E">
              <w:t>observation of candidate accessing, shoring and re-opening a grave</w:t>
            </w:r>
          </w:p>
          <w:p w:rsidR="00000000" w:rsidRPr="0036403E" w:rsidP="0036403E">
            <w:pPr>
              <w:pStyle w:val="ListBullet"/>
            </w:pPr>
            <w:r w:rsidRPr="0036403E">
              <w:t>written or verbal questioning to assess knowledge and understanding of workplace policies and procedures, and relevant legislation</w:t>
            </w:r>
          </w:p>
          <w:p w:rsidR="00000000" w:rsidRPr="0036403E" w:rsidP="0036403E">
            <w:pPr>
              <w:pStyle w:val="ListBullet"/>
            </w:pPr>
            <w:r w:rsidRPr="0036403E">
              <w:t>review of portfolios of evidence and third-party workplace</w:t>
            </w:r>
            <w:r w:rsidRPr="0036403E">
              <w:t xml:space="preserve"> reports of on-the-job performance by the candidate.</w:t>
            </w:r>
          </w:p>
          <w:p w:rsidR="00000000" w:rsidRPr="0036403E" w:rsidP="0036403E">
            <w:pPr>
              <w:pStyle w:val="BodyText"/>
            </w:pPr>
            <w:r w:rsidRPr="0036403E">
              <w:t>Holistic assessment with other units relevant to the industry sector, workplace and job role is recommended, for example:</w:t>
            </w:r>
          </w:p>
          <w:p w:rsidR="00000000" w:rsidP="0036403E">
            <w:pPr>
              <w:pStyle w:val="ListBullet"/>
              <w:rPr>
                <w:lang w:val="en-NZ"/>
              </w:rPr>
            </w:pPr>
            <w:r w:rsidRPr="0036403E">
              <w:t>SIFBCR017A Prepare for gravedigging.</w:t>
            </w: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36403E" w:rsidP="0036403E">
            <w:pPr>
              <w:pStyle w:val="BodyText"/>
            </w:pPr>
            <w:r w:rsidRPr="0036403E">
              <w:t>Employability skills embedded in this uni</w:t>
            </w:r>
            <w:r w:rsidRPr="0036403E">
              <w:t>t should be assessed holistically with other relevant units that make up the skill set or qualification and in the context of the job role.</w:t>
            </w:r>
          </w:p>
        </w:tc>
      </w:tr>
    </w:tbl>
    <w:p w:rsidR="00D83CA4" w:rsidP="0036403E">
      <w:pPr>
        <w:pStyle w:val="BodyText"/>
      </w:pPr>
    </w:p>
    <w:p w:rsidR="00D83CA4" w:rsidP="0036403E">
      <w:pPr>
        <w:pStyle w:val="BodyText"/>
      </w:pPr>
    </w:p>
    <w:p w:rsidR="00000000" w:rsidRPr="0036403E" w:rsidP="0036403E">
      <w:pPr>
        <w:pStyle w:val="Heading1"/>
      </w:pPr>
      <w:bookmarkStart w:id="11" w:name="O_136441"/>
      <w:bookmarkEnd w:id="11"/>
      <w:r w:rsidRPr="0036403E">
        <w:t>Range Statement</w:t>
      </w:r>
    </w:p>
    <w:tbl>
      <w:tblPr>
        <w:tblW w:w="0" w:type="auto"/>
        <w:tblLayout w:type="fixed"/>
        <w:tblCellMar>
          <w:left w:w="62" w:type="dxa"/>
          <w:right w:w="62" w:type="dxa"/>
        </w:tblCellMar>
        <w:tblLook w:val="0000"/>
      </w:tblPr>
      <w:tblGrid>
        <w:gridCol w:w="3345"/>
        <w:gridCol w:w="5835"/>
      </w:tblGrid>
      <w:tr w:rsidTr="00D83CA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rPr>
                <w:rStyle w:val="SpecialBold"/>
              </w:rPr>
              <w:t>RANGE STATEMENT</w:t>
            </w:r>
          </w:p>
        </w:tc>
      </w:tr>
      <w:tr w:rsidTr="00D83CA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t>The range statement relates to the unit of competency as a whole. It allows for different work environments and situations that may affect performance. Bold italicised wording, if used in the performance criteria, is detailed below. Essential operating con</w:t>
            </w:r>
            <w:r w:rsidRPr="0036403E">
              <w:t>ditions that may be present with training and assessment (depending on the work situation, needs of the candidate, accessibility of the item, and local industry and regional contexts) may also be included.</w:t>
            </w:r>
          </w:p>
        </w:tc>
      </w:tr>
      <w:tr w:rsidTr="00D83CA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36403E">
            <w:pPr>
              <w:pStyle w:val="BodyText"/>
              <w:rPr>
                <w:lang w:val="en-NZ"/>
              </w:rPr>
            </w:pP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rPr>
                <w:rStyle w:val="BoldandItalics"/>
              </w:rPr>
              <w:t>Gravedigging requirement</w:t>
            </w:r>
            <w:r w:rsidRPr="0036403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403E" w:rsidP="0036403E">
            <w:pPr>
              <w:pStyle w:val="ListBullet"/>
            </w:pPr>
            <w:r w:rsidRPr="0036403E">
              <w:t>re-opening existing site</w:t>
            </w:r>
          </w:p>
          <w:p w:rsidR="00000000" w:rsidRPr="0036403E" w:rsidP="0036403E">
            <w:pPr>
              <w:pStyle w:val="ListBullet"/>
            </w:pPr>
            <w:r w:rsidRPr="0036403E">
              <w:t>new site</w:t>
            </w:r>
          </w:p>
          <w:p w:rsidR="00000000" w:rsidRPr="0036403E" w:rsidP="0036403E">
            <w:pPr>
              <w:pStyle w:val="ListBullet"/>
            </w:pPr>
            <w:r w:rsidRPr="0036403E">
              <w:t>coffin or casket measurement</w:t>
            </w:r>
          </w:p>
          <w:p w:rsidR="00000000" w:rsidP="0036403E">
            <w:pPr>
              <w:pStyle w:val="ListBullet"/>
              <w:rPr>
                <w:lang w:val="en-NZ"/>
              </w:rPr>
            </w:pPr>
            <w:r w:rsidRPr="0036403E">
              <w:t>required depth of excavation.</w:t>
            </w: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rPr>
                <w:rStyle w:val="BoldandItalics"/>
              </w:rPr>
              <w:t>Relevant legislation and regulations</w:t>
            </w:r>
            <w:r w:rsidRPr="0036403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403E" w:rsidP="0036403E">
            <w:pPr>
              <w:pStyle w:val="ListBullet"/>
            </w:pPr>
            <w:r w:rsidRPr="0036403E">
              <w:t xml:space="preserve">OHS </w:t>
            </w:r>
          </w:p>
          <w:p w:rsidR="00000000" w:rsidRPr="0036403E" w:rsidP="0036403E">
            <w:pPr>
              <w:pStyle w:val="ListBullet"/>
            </w:pPr>
            <w:r w:rsidRPr="0036403E">
              <w:t>grave re-opening</w:t>
            </w:r>
          </w:p>
          <w:p w:rsidR="00000000" w:rsidRPr="0036403E" w:rsidP="0036403E">
            <w:pPr>
              <w:pStyle w:val="ListBullet"/>
            </w:pPr>
            <w:r w:rsidRPr="0036403E">
              <w:t>workers' compensation, legislation and regulations</w:t>
            </w:r>
          </w:p>
          <w:p w:rsidR="00000000" w:rsidRPr="0036403E" w:rsidP="0036403E">
            <w:pPr>
              <w:pStyle w:val="ListBullet"/>
            </w:pPr>
            <w:r w:rsidRPr="0036403E">
              <w:t>cemetery Acts and by-laws</w:t>
            </w:r>
          </w:p>
          <w:p w:rsidR="00000000" w:rsidRPr="0036403E" w:rsidP="0036403E">
            <w:pPr>
              <w:pStyle w:val="ListBullet"/>
            </w:pPr>
            <w:r w:rsidRPr="0036403E">
              <w:t>local government regulations</w:t>
            </w:r>
          </w:p>
          <w:p w:rsidR="00000000" w:rsidRPr="0036403E" w:rsidP="0036403E">
            <w:pPr>
              <w:pStyle w:val="ListBullet"/>
            </w:pPr>
            <w:r w:rsidRPr="0036403E">
              <w:t>Lands Act</w:t>
            </w:r>
          </w:p>
          <w:p w:rsidR="00000000" w:rsidRPr="0036403E" w:rsidP="0036403E">
            <w:pPr>
              <w:pStyle w:val="ListBullet"/>
            </w:pPr>
            <w:r w:rsidRPr="0036403E">
              <w:t>Public Health Act</w:t>
            </w:r>
          </w:p>
          <w:p w:rsidR="00000000" w:rsidRPr="0036403E" w:rsidP="0036403E">
            <w:pPr>
              <w:pStyle w:val="ListBullet"/>
            </w:pPr>
            <w:r w:rsidRPr="0036403E">
              <w:t>Environment Protection Act</w:t>
            </w:r>
          </w:p>
          <w:p w:rsidR="00000000" w:rsidRPr="0036403E" w:rsidP="0036403E">
            <w:pPr>
              <w:pStyle w:val="ListBullet"/>
            </w:pPr>
            <w:r w:rsidRPr="0036403E">
              <w:t>Australian standards</w:t>
            </w:r>
          </w:p>
          <w:p w:rsidR="00000000" w:rsidP="0036403E">
            <w:pPr>
              <w:pStyle w:val="ListBullet"/>
              <w:rPr>
                <w:lang w:val="en-NZ"/>
              </w:rPr>
            </w:pPr>
            <w:r w:rsidRPr="0036403E">
              <w:t>Worksafe Australia certification and standards.</w:t>
            </w: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rPr>
                <w:rStyle w:val="BoldandItalics"/>
              </w:rPr>
              <w:t>Personal protective equipment</w:t>
            </w:r>
            <w:r w:rsidRPr="0036403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403E" w:rsidP="0036403E">
            <w:pPr>
              <w:pStyle w:val="ListBullet"/>
            </w:pPr>
            <w:r w:rsidRPr="0036403E">
              <w:t>overalls</w:t>
            </w:r>
          </w:p>
          <w:p w:rsidR="00000000" w:rsidRPr="0036403E" w:rsidP="0036403E">
            <w:pPr>
              <w:pStyle w:val="ListBullet"/>
            </w:pPr>
            <w:r w:rsidRPr="0036403E">
              <w:t>steel-capped boots</w:t>
            </w:r>
          </w:p>
          <w:p w:rsidR="00000000" w:rsidRPr="0036403E" w:rsidP="0036403E">
            <w:pPr>
              <w:pStyle w:val="ListBullet"/>
            </w:pPr>
            <w:r w:rsidRPr="0036403E">
              <w:t>jacket</w:t>
            </w:r>
          </w:p>
          <w:p w:rsidR="00000000" w:rsidRPr="0036403E" w:rsidP="0036403E">
            <w:pPr>
              <w:pStyle w:val="ListBullet"/>
            </w:pPr>
            <w:r w:rsidRPr="0036403E">
              <w:t>long sleeves</w:t>
            </w:r>
          </w:p>
          <w:p w:rsidR="00000000" w:rsidRPr="0036403E" w:rsidP="0036403E">
            <w:pPr>
              <w:pStyle w:val="ListBullet"/>
            </w:pPr>
            <w:r w:rsidRPr="0036403E">
              <w:t>gloves</w:t>
            </w:r>
          </w:p>
          <w:p w:rsidR="00000000" w:rsidRPr="0036403E" w:rsidP="0036403E">
            <w:pPr>
              <w:pStyle w:val="ListBullet"/>
            </w:pPr>
            <w:r w:rsidRPr="0036403E">
              <w:t>safety glasses or goggles</w:t>
            </w:r>
          </w:p>
          <w:p w:rsidR="00000000" w:rsidRPr="0036403E" w:rsidP="0036403E">
            <w:pPr>
              <w:pStyle w:val="ListBullet"/>
            </w:pPr>
            <w:r w:rsidRPr="0036403E">
              <w:t>hard hat</w:t>
            </w:r>
          </w:p>
          <w:p w:rsidR="00000000" w:rsidRPr="0036403E" w:rsidP="0036403E">
            <w:pPr>
              <w:pStyle w:val="ListBullet"/>
            </w:pPr>
            <w:r w:rsidRPr="0036403E">
              <w:t>hat or cap</w:t>
            </w:r>
          </w:p>
          <w:p w:rsidR="00000000" w:rsidRPr="0036403E" w:rsidP="0036403E">
            <w:pPr>
              <w:pStyle w:val="ListBullet"/>
            </w:pPr>
            <w:r w:rsidRPr="0036403E">
              <w:t>gumboots</w:t>
            </w:r>
          </w:p>
          <w:p w:rsidR="00000000" w:rsidRPr="0036403E" w:rsidP="0036403E">
            <w:pPr>
              <w:pStyle w:val="ListBullet"/>
            </w:pPr>
            <w:r w:rsidRPr="0036403E">
              <w:t>ear plugs or muffs</w:t>
            </w:r>
          </w:p>
          <w:p w:rsidR="00000000" w:rsidRPr="0036403E" w:rsidP="0036403E">
            <w:pPr>
              <w:pStyle w:val="ListBullet"/>
            </w:pPr>
            <w:r w:rsidRPr="0036403E">
              <w:t>sun protection</w:t>
            </w:r>
          </w:p>
          <w:p w:rsidR="00000000" w:rsidP="0036403E">
            <w:pPr>
              <w:pStyle w:val="ListBullet"/>
              <w:rPr>
                <w:lang w:val="en-NZ"/>
              </w:rPr>
            </w:pPr>
            <w:r w:rsidRPr="0036403E">
              <w:t>two-way radio.</w:t>
            </w: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rPr>
                <w:rStyle w:val="BoldandItalics"/>
              </w:rPr>
              <w:t>Workplace policies and procedures</w:t>
            </w:r>
            <w:r w:rsidRPr="0036403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403E" w:rsidP="0036403E">
            <w:pPr>
              <w:pStyle w:val="ListBullet"/>
            </w:pPr>
            <w:r w:rsidRPr="0036403E">
              <w:t>standard operating policies and procedures</w:t>
            </w:r>
          </w:p>
          <w:p w:rsidR="00000000" w:rsidRPr="0036403E" w:rsidP="0036403E">
            <w:pPr>
              <w:pStyle w:val="ListBullet"/>
            </w:pPr>
            <w:r w:rsidRPr="0036403E">
              <w:t>standards and certification requirements</w:t>
            </w:r>
          </w:p>
          <w:p w:rsidR="00000000" w:rsidRPr="0036403E" w:rsidP="0036403E">
            <w:pPr>
              <w:pStyle w:val="ListBullet"/>
            </w:pPr>
            <w:r w:rsidRPr="0036403E">
              <w:t>quality assurance procedures</w:t>
            </w:r>
          </w:p>
          <w:p w:rsidR="00000000" w:rsidRPr="0036403E" w:rsidP="0036403E">
            <w:pPr>
              <w:pStyle w:val="ListBullet"/>
            </w:pPr>
            <w:r w:rsidRPr="0036403E">
              <w:t>OHS procedures</w:t>
            </w:r>
          </w:p>
          <w:p w:rsidR="00000000" w:rsidP="0036403E">
            <w:pPr>
              <w:pStyle w:val="ListBullet"/>
              <w:rPr>
                <w:lang w:val="en-NZ"/>
              </w:rPr>
            </w:pPr>
            <w:r w:rsidRPr="0036403E">
              <w:t>emergency procedures, including fire and accident procedures.</w:t>
            </w: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rPr>
                <w:rStyle w:val="BoldandItalics"/>
              </w:rPr>
              <w:t>Grave shoring requirements</w:t>
            </w:r>
            <w:r w:rsidRPr="0036403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403E" w:rsidP="0036403E">
            <w:pPr>
              <w:pStyle w:val="ListBullet"/>
            </w:pPr>
            <w:r w:rsidRPr="0036403E">
              <w:t>required depth of grave</w:t>
            </w:r>
          </w:p>
          <w:p w:rsidR="00000000" w:rsidRPr="0036403E" w:rsidP="0036403E">
            <w:pPr>
              <w:pStyle w:val="ListBullet"/>
            </w:pPr>
            <w:r w:rsidRPr="0036403E">
              <w:t>required depth of excavation for re-opening</w:t>
            </w:r>
          </w:p>
          <w:p w:rsidR="00000000" w:rsidRPr="0036403E" w:rsidP="0036403E">
            <w:pPr>
              <w:pStyle w:val="ListBullet"/>
            </w:pPr>
            <w:r w:rsidRPr="0036403E">
              <w:t>techniques to deal with soil types and conditions, such as:</w:t>
            </w:r>
          </w:p>
          <w:p w:rsidR="00000000" w:rsidRPr="0036403E" w:rsidP="0036403E">
            <w:pPr>
              <w:pStyle w:val="ListBullet2"/>
            </w:pPr>
            <w:r w:rsidRPr="0036403E">
              <w:t>sand</w:t>
            </w:r>
          </w:p>
          <w:p w:rsidR="00000000" w:rsidRPr="0036403E" w:rsidP="0036403E">
            <w:pPr>
              <w:pStyle w:val="ListBullet2"/>
            </w:pPr>
            <w:r w:rsidRPr="0036403E">
              <w:t>clay</w:t>
            </w:r>
          </w:p>
          <w:p w:rsidR="00000000" w:rsidRPr="0036403E" w:rsidP="0036403E">
            <w:pPr>
              <w:pStyle w:val="ListBullet2"/>
            </w:pPr>
            <w:r w:rsidRPr="0036403E">
              <w:t>rock</w:t>
            </w:r>
          </w:p>
          <w:p w:rsidR="00000000" w:rsidRPr="0036403E" w:rsidP="0036403E">
            <w:pPr>
              <w:pStyle w:val="ListBullet2"/>
            </w:pPr>
            <w:r w:rsidRPr="0036403E">
              <w:t>length of time soil exposed</w:t>
            </w:r>
          </w:p>
          <w:p w:rsidR="00000000" w:rsidRPr="0036403E" w:rsidP="0036403E">
            <w:pPr>
              <w:pStyle w:val="ListBullet2"/>
            </w:pPr>
            <w:r w:rsidRPr="0036403E">
              <w:t>breakdown of cohesive strength of soil</w:t>
            </w:r>
          </w:p>
          <w:p w:rsidR="00000000" w:rsidRPr="0036403E" w:rsidP="0036403E">
            <w:pPr>
              <w:pStyle w:val="ListBullet2"/>
            </w:pPr>
            <w:r w:rsidRPr="0036403E">
              <w:t>soil fretting</w:t>
            </w:r>
          </w:p>
          <w:p w:rsidR="00000000" w:rsidRPr="0036403E" w:rsidP="0036403E">
            <w:pPr>
              <w:pStyle w:val="ListBullet2"/>
            </w:pPr>
            <w:r w:rsidRPr="0036403E">
              <w:t>soil compaction</w:t>
            </w:r>
          </w:p>
          <w:p w:rsidR="00000000" w:rsidP="0036403E">
            <w:pPr>
              <w:pStyle w:val="ListBullet2"/>
              <w:rPr>
                <w:lang w:val="en-NZ"/>
              </w:rPr>
            </w:pPr>
            <w:r w:rsidRPr="0036403E">
              <w:t>tension cracks.</w:t>
            </w: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rPr>
                <w:rStyle w:val="BoldandItalics"/>
              </w:rPr>
              <w:t>Tools and equipment</w:t>
            </w:r>
            <w:r w:rsidRPr="0036403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403E" w:rsidP="0036403E">
            <w:pPr>
              <w:pStyle w:val="ListBullet"/>
            </w:pPr>
            <w:r w:rsidRPr="0036403E">
              <w:t>spreaders</w:t>
            </w:r>
          </w:p>
          <w:p w:rsidR="00000000" w:rsidRPr="0036403E" w:rsidP="0036403E">
            <w:pPr>
              <w:pStyle w:val="ListBullet"/>
            </w:pPr>
            <w:r w:rsidRPr="0036403E">
              <w:t>boards</w:t>
            </w:r>
          </w:p>
          <w:p w:rsidR="00000000" w:rsidRPr="0036403E" w:rsidP="0036403E">
            <w:pPr>
              <w:pStyle w:val="ListBullet"/>
            </w:pPr>
            <w:r w:rsidRPr="0036403E">
              <w:t>hydraulic braces</w:t>
            </w:r>
          </w:p>
          <w:p w:rsidR="00000000" w:rsidRPr="0036403E" w:rsidP="0036403E">
            <w:pPr>
              <w:pStyle w:val="ListBullet"/>
            </w:pPr>
            <w:r w:rsidRPr="0036403E">
              <w:t>stabilisers</w:t>
            </w:r>
          </w:p>
          <w:p w:rsidR="00000000" w:rsidRPr="0036403E" w:rsidP="0036403E">
            <w:pPr>
              <w:pStyle w:val="ListBullet"/>
            </w:pPr>
            <w:r w:rsidRPr="0036403E">
              <w:t>spades</w:t>
            </w:r>
          </w:p>
          <w:p w:rsidR="00000000" w:rsidRPr="0036403E" w:rsidP="0036403E">
            <w:pPr>
              <w:pStyle w:val="ListBullet"/>
            </w:pPr>
            <w:r w:rsidRPr="0036403E">
              <w:t>shovels</w:t>
            </w:r>
          </w:p>
          <w:p w:rsidR="00000000" w:rsidRPr="0036403E" w:rsidP="0036403E">
            <w:pPr>
              <w:pStyle w:val="ListBullet"/>
            </w:pPr>
            <w:r w:rsidRPr="0036403E">
              <w:t>picks</w:t>
            </w:r>
          </w:p>
          <w:p w:rsidR="00000000" w:rsidRPr="0036403E" w:rsidP="0036403E">
            <w:pPr>
              <w:pStyle w:val="ListBullet"/>
            </w:pPr>
            <w:r w:rsidRPr="0036403E">
              <w:t>crowbars</w:t>
            </w:r>
          </w:p>
          <w:p w:rsidR="00000000" w:rsidRPr="0036403E" w:rsidP="0036403E">
            <w:pPr>
              <w:pStyle w:val="ListBullet"/>
            </w:pPr>
            <w:r w:rsidRPr="0036403E">
              <w:t>auger</w:t>
            </w:r>
          </w:p>
          <w:p w:rsidR="00000000" w:rsidRPr="0036403E" w:rsidP="0036403E">
            <w:pPr>
              <w:pStyle w:val="ListBullet"/>
            </w:pPr>
            <w:r w:rsidRPr="0036403E">
              <w:t>timber tom</w:t>
            </w:r>
          </w:p>
          <w:p w:rsidR="00000000" w:rsidRPr="0036403E" w:rsidP="0036403E">
            <w:pPr>
              <w:pStyle w:val="ListBullet"/>
            </w:pPr>
            <w:r w:rsidRPr="0036403E">
              <w:t>sledgehammer</w:t>
            </w:r>
          </w:p>
          <w:p w:rsidR="00000000" w:rsidRPr="0036403E" w:rsidP="0036403E">
            <w:pPr>
              <w:pStyle w:val="ListBullet"/>
            </w:pPr>
            <w:r w:rsidRPr="0036403E">
              <w:t>timber mallet</w:t>
            </w:r>
          </w:p>
          <w:p w:rsidR="00000000" w:rsidRPr="0036403E" w:rsidP="0036403E">
            <w:pPr>
              <w:pStyle w:val="ListBullet"/>
            </w:pPr>
            <w:r w:rsidRPr="0036403E">
              <w:t>power saw</w:t>
            </w:r>
          </w:p>
          <w:p w:rsidR="00000000" w:rsidRPr="0036403E" w:rsidP="0036403E">
            <w:pPr>
              <w:pStyle w:val="ListBullet"/>
            </w:pPr>
            <w:r w:rsidRPr="0036403E">
              <w:t>handsaw</w:t>
            </w:r>
          </w:p>
          <w:p w:rsidR="00000000" w:rsidRPr="0036403E" w:rsidP="0036403E">
            <w:pPr>
              <w:pStyle w:val="ListBullet"/>
            </w:pPr>
            <w:r w:rsidRPr="0036403E">
              <w:t>timber of correct or recommended grade, size and type</w:t>
            </w:r>
          </w:p>
          <w:p w:rsidR="00000000" w:rsidRPr="0036403E" w:rsidP="0036403E">
            <w:pPr>
              <w:pStyle w:val="ListBullet"/>
            </w:pPr>
            <w:r w:rsidRPr="0036403E">
              <w:t>ladder that complies with requirements of current Australian standard</w:t>
            </w:r>
          </w:p>
          <w:p w:rsidR="00000000" w:rsidP="0036403E">
            <w:pPr>
              <w:pStyle w:val="ListBullet"/>
              <w:rPr>
                <w:lang w:val="en-NZ"/>
              </w:rPr>
            </w:pPr>
            <w:r w:rsidRPr="0036403E">
              <w:t>explosive power tool.</w:t>
            </w: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rPr>
                <w:rStyle w:val="BoldandItalics"/>
              </w:rPr>
              <w:t>Safe storage of displaced earth</w:t>
            </w:r>
            <w:r w:rsidRPr="0036403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403E" w:rsidP="0036403E">
            <w:pPr>
              <w:pStyle w:val="ListBullet"/>
            </w:pPr>
            <w:r w:rsidRPr="0036403E">
              <w:t>truck</w:t>
            </w:r>
          </w:p>
          <w:p w:rsidR="00000000" w:rsidP="0036403E">
            <w:pPr>
              <w:pStyle w:val="ListBullet"/>
              <w:rPr>
                <w:lang w:val="en-NZ"/>
              </w:rPr>
            </w:pPr>
            <w:r w:rsidRPr="0036403E">
              <w:t>vacant site.</w:t>
            </w: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rPr>
                <w:rStyle w:val="BoldandItalics"/>
              </w:rPr>
              <w:t>Progressive grave shoring requirements</w:t>
            </w:r>
            <w:r w:rsidRPr="0036403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403E" w:rsidP="0036403E">
            <w:pPr>
              <w:pStyle w:val="ListBullet"/>
            </w:pPr>
            <w:r w:rsidRPr="0036403E">
              <w:t>top of grave shored to a minimum of 300 millimetres</w:t>
            </w:r>
          </w:p>
          <w:p w:rsidR="00000000" w:rsidP="0036403E">
            <w:pPr>
              <w:pStyle w:val="ListBullet"/>
              <w:rPr>
                <w:lang w:val="en-NZ"/>
              </w:rPr>
            </w:pPr>
            <w:r w:rsidRPr="0036403E">
              <w:t>sides of grave shored where depth exceeds 1.5 metres.</w:t>
            </w: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rPr>
                <w:rStyle w:val="BoldandItalics"/>
              </w:rPr>
              <w:t>Shoring method</w:t>
            </w:r>
            <w:r w:rsidRPr="0036403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403E" w:rsidP="0036403E">
            <w:pPr>
              <w:pStyle w:val="ListBullet"/>
            </w:pPr>
            <w:r w:rsidRPr="0036403E">
              <w:t>box set</w:t>
            </w:r>
          </w:p>
          <w:p w:rsidR="00000000" w:rsidRPr="0036403E" w:rsidP="0036403E">
            <w:pPr>
              <w:pStyle w:val="ListBullet"/>
            </w:pPr>
            <w:r w:rsidRPr="0036403E">
              <w:t>closed timbering for wet sand or refilled ground</w:t>
            </w:r>
          </w:p>
          <w:p w:rsidR="00000000" w:rsidRPr="0036403E" w:rsidP="0036403E">
            <w:pPr>
              <w:pStyle w:val="ListBullet"/>
            </w:pPr>
            <w:r w:rsidRPr="0036403E">
              <w:t>soldier set or box sets for firm, hard clay</w:t>
            </w:r>
          </w:p>
          <w:p w:rsidR="00000000" w:rsidP="0036403E">
            <w:pPr>
              <w:pStyle w:val="ListBullet"/>
              <w:rPr>
                <w:lang w:val="en-NZ"/>
              </w:rPr>
            </w:pPr>
            <w:r w:rsidRPr="0036403E">
              <w:t>shields where suitable for rock.</w:t>
            </w: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rPr>
                <w:rStyle w:val="BoldandItalics"/>
              </w:rPr>
              <w:t>Grave collapse warning signs</w:t>
            </w:r>
            <w:r w:rsidRPr="0036403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403E" w:rsidP="0036403E">
            <w:pPr>
              <w:pStyle w:val="ListBullet"/>
            </w:pPr>
            <w:r w:rsidRPr="0036403E">
              <w:t>fretting from top edge</w:t>
            </w:r>
          </w:p>
          <w:p w:rsidR="00000000" w:rsidRPr="0036403E" w:rsidP="0036403E">
            <w:pPr>
              <w:pStyle w:val="ListBullet"/>
            </w:pPr>
            <w:r w:rsidRPr="0036403E">
              <w:t>slump in surface near excavation</w:t>
            </w:r>
          </w:p>
          <w:p w:rsidR="00000000" w:rsidRPr="0036403E" w:rsidP="0036403E">
            <w:pPr>
              <w:pStyle w:val="ListBullet"/>
            </w:pPr>
            <w:r w:rsidRPr="0036403E">
              <w:t>tension cracks</w:t>
            </w:r>
          </w:p>
          <w:p w:rsidR="00000000" w:rsidP="0036403E">
            <w:pPr>
              <w:pStyle w:val="ListBullet"/>
              <w:rPr>
                <w:lang w:val="en-NZ"/>
              </w:rPr>
            </w:pPr>
            <w:r w:rsidRPr="0036403E">
              <w:t>support timbers bowing or creaking.</w:t>
            </w: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rPr>
                <w:rStyle w:val="BoldandItalics"/>
              </w:rPr>
              <w:t>Corrective or emergency action</w:t>
            </w:r>
            <w:r w:rsidRPr="0036403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403E" w:rsidP="0036403E">
            <w:pPr>
              <w:pStyle w:val="ListBullet"/>
            </w:pPr>
            <w:r w:rsidRPr="0036403E">
              <w:t>alternative shoring methods</w:t>
            </w:r>
          </w:p>
          <w:p w:rsidR="00000000" w:rsidRPr="0036403E" w:rsidP="0036403E">
            <w:pPr>
              <w:pStyle w:val="ListBullet"/>
            </w:pPr>
            <w:r w:rsidRPr="0036403E">
              <w:t>use of a sludge pump</w:t>
            </w:r>
          </w:p>
          <w:p w:rsidR="00000000" w:rsidRPr="0036403E" w:rsidP="0036403E">
            <w:pPr>
              <w:pStyle w:val="ListBullet"/>
            </w:pPr>
            <w:r w:rsidRPr="0036403E">
              <w:t>reduced soil loadings</w:t>
            </w:r>
          </w:p>
          <w:p w:rsidR="00000000" w:rsidP="0036403E">
            <w:pPr>
              <w:pStyle w:val="ListBullet"/>
              <w:rPr>
                <w:lang w:val="en-NZ"/>
              </w:rPr>
            </w:pPr>
            <w:r w:rsidRPr="0036403E">
              <w:t>evacuation of gravesite.</w:t>
            </w: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p>
        </w:tc>
      </w:tr>
      <w:tr w:rsidTr="00D83CA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rPr>
                <w:rStyle w:val="BoldandItalics"/>
              </w:rPr>
              <w:t>Protective restraints</w:t>
            </w:r>
            <w:r w:rsidRPr="0036403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36403E" w:rsidP="0036403E">
            <w:pPr>
              <w:pStyle w:val="ListBullet"/>
            </w:pPr>
            <w:r w:rsidRPr="0036403E">
              <w:t>sheeting</w:t>
            </w:r>
          </w:p>
          <w:p w:rsidR="00000000" w:rsidRPr="0036403E" w:rsidP="0036403E">
            <w:pPr>
              <w:pStyle w:val="ListBullet"/>
            </w:pPr>
            <w:r w:rsidRPr="0036403E">
              <w:t>barricades</w:t>
            </w:r>
          </w:p>
          <w:p w:rsidR="00000000" w:rsidRPr="0036403E" w:rsidP="0036403E">
            <w:pPr>
              <w:pStyle w:val="ListBullet"/>
            </w:pPr>
            <w:r w:rsidRPr="0036403E">
              <w:t>temporary fencing</w:t>
            </w:r>
          </w:p>
          <w:p w:rsidR="00000000" w:rsidRPr="0036403E" w:rsidP="0036403E">
            <w:pPr>
              <w:pStyle w:val="ListBullet"/>
            </w:pPr>
            <w:r w:rsidRPr="0036403E">
              <w:t>reinforced covers.</w:t>
            </w:r>
          </w:p>
        </w:tc>
      </w:tr>
    </w:tbl>
    <w:p w:rsidR="00D83CA4" w:rsidP="0036403E">
      <w:pPr>
        <w:pStyle w:val="BodyText"/>
      </w:pPr>
    </w:p>
    <w:p w:rsidR="00D83CA4" w:rsidP="0036403E">
      <w:pPr>
        <w:pStyle w:val="BodyText"/>
      </w:pPr>
    </w:p>
    <w:p w:rsidR="00000000" w:rsidRPr="0036403E" w:rsidP="0036403E">
      <w:pPr>
        <w:pStyle w:val="Heading1"/>
      </w:pPr>
      <w:bookmarkStart w:id="12" w:name="O_136442"/>
      <w:bookmarkEnd w:id="12"/>
      <w:r w:rsidRPr="0036403E">
        <w:t>Unit Sector(s)</w:t>
      </w:r>
    </w:p>
    <w:tbl>
      <w:tblPr>
        <w:tblW w:w="0" w:type="auto"/>
        <w:tblLayout w:type="fixed"/>
        <w:tblCellMar>
          <w:left w:w="62" w:type="dxa"/>
          <w:right w:w="62" w:type="dxa"/>
        </w:tblCellMar>
        <w:tblLook w:val="0000"/>
      </w:tblPr>
      <w:tblGrid>
        <w:gridCol w:w="2836"/>
        <w:gridCol w:w="6344"/>
      </w:tblGrid>
      <w:tr w:rsidTr="00D83CA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36403E" w:rsidP="0036403E">
            <w:pPr>
              <w:pStyle w:val="BodyText"/>
            </w:pPr>
            <w:r w:rsidRPr="0036403E">
              <w:t>Funeral Services</w:t>
            </w:r>
          </w:p>
        </w:tc>
      </w:tr>
    </w:tbl>
    <w:p w:rsidR="00000000" w:rsidRPr="0036403E" w:rsidP="0036403E">
      <w:pPr>
        <w:pStyle w:val="BodyText"/>
      </w:pPr>
    </w:p>
    <w:p w:rsidR="00000000" w:rsidRPr="0036403E" w:rsidP="0036403E">
      <w:pPr>
        <w:pStyle w:val="AllowPageBreak"/>
      </w:pPr>
    </w:p>
    <w:p w:rsidR="00000000" w:rsidRPr="0036403E" w:rsidP="0036403E">
      <w:pPr>
        <w:pStyle w:val="Heading1"/>
      </w:pPr>
      <w:bookmarkStart w:id="13" w:name="O_162453"/>
      <w:bookmarkEnd w:id="13"/>
      <w:r w:rsidRPr="0036403E">
        <w:t>Competency field</w:t>
      </w:r>
    </w:p>
    <w:tbl>
      <w:tblPr>
        <w:tblW w:w="0" w:type="auto"/>
        <w:tblLayout w:type="fixed"/>
        <w:tblCellMar>
          <w:left w:w="62" w:type="dxa"/>
          <w:right w:w="62" w:type="dxa"/>
        </w:tblCellMar>
        <w:tblLook w:val="0000"/>
      </w:tblPr>
      <w:tblGrid>
        <w:gridCol w:w="2836"/>
        <w:gridCol w:w="6344"/>
      </w:tblGrid>
      <w:tr w:rsidTr="00D83CA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36403E">
            <w:pPr>
              <w:pStyle w:val="BodyText"/>
              <w:rPr>
                <w:lang w:val="en-NZ"/>
              </w:rPr>
            </w:pPr>
            <w:r w:rsidRPr="0036403E">
              <w:t>Burials and Cremations</w:t>
            </w:r>
          </w:p>
        </w:tc>
      </w:tr>
      <w:tr w:rsidTr="00D83CA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36403E" w:rsidP="0036403E">
            <w:pPr>
              <w:pStyle w:val="BodyText"/>
            </w:pPr>
          </w:p>
        </w:tc>
      </w:tr>
    </w:tbl>
    <w:p w:rsidR="00000000" w:rsidRPr="0036403E" w:rsidP="0036403E">
      <w:pPr>
        <w:pStyle w:val="BodyText"/>
      </w:pPr>
    </w:p>
    <w:p w:rsidR="00000000" w:rsidRPr="0036403E" w:rsidP="0036403E"/>
    <w:sectPr w:rsidSect="003640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0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3CA4" w:rsidP="00D83C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0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CA4" w:rsidP="003640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83CA4" w:rsidP="003640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83CA4" w:rsidP="003640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0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3CA4" w:rsidP="00D83C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0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CA4" w:rsidP="0036403E">
    <w:pPr>
      <w:pStyle w:val="Header"/>
      <w:framePr w:wrap="around"/>
    </w:pPr>
    <w:r>
      <w:fldChar w:fldCharType="begin"/>
    </w:r>
    <w:r>
      <w:instrText xml:space="preserve"> TITLE   \* MERGEFORMAT </w:instrText>
    </w:r>
    <w:r>
      <w:fldChar w:fldCharType="separate"/>
    </w:r>
    <w:r>
      <w:t>SIFBCR020A Dig a grave manually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83CA4" w:rsidP="003640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322A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DEF8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9C68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0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403E"/>
    <w:pPr>
      <w:spacing w:before="360" w:after="60"/>
      <w:outlineLvl w:val="0"/>
    </w:pPr>
    <w:rPr>
      <w:sz w:val="32"/>
    </w:rPr>
  </w:style>
  <w:style w:type="paragraph" w:styleId="Heading2">
    <w:name w:val="heading 2"/>
    <w:basedOn w:val="HeadingBase"/>
    <w:next w:val="BodyText"/>
    <w:link w:val="Heading2Char"/>
    <w:qFormat/>
    <w:rsid w:val="0036403E"/>
    <w:pPr>
      <w:keepLines/>
      <w:spacing w:before="240" w:after="120"/>
      <w:outlineLvl w:val="1"/>
    </w:pPr>
    <w:rPr>
      <w:sz w:val="28"/>
      <w:szCs w:val="40"/>
    </w:rPr>
  </w:style>
  <w:style w:type="paragraph" w:styleId="Heading3">
    <w:name w:val="heading 3"/>
    <w:basedOn w:val="HeadingBase"/>
    <w:next w:val="BodyText"/>
    <w:link w:val="Heading3Char"/>
    <w:qFormat/>
    <w:rsid w:val="0036403E"/>
    <w:pPr>
      <w:spacing w:before="180" w:after="120"/>
      <w:outlineLvl w:val="2"/>
    </w:pPr>
    <w:rPr>
      <w:spacing w:val="-10"/>
      <w:kern w:val="32"/>
    </w:rPr>
  </w:style>
  <w:style w:type="paragraph" w:styleId="Heading4">
    <w:name w:val="heading 4"/>
    <w:basedOn w:val="HeadingBase"/>
    <w:next w:val="BodyText"/>
    <w:link w:val="Heading4Char"/>
    <w:qFormat/>
    <w:rsid w:val="0036403E"/>
    <w:pPr>
      <w:spacing w:before="160" w:after="120"/>
      <w:outlineLvl w:val="3"/>
    </w:pPr>
    <w:rPr>
      <w:sz w:val="22"/>
    </w:rPr>
  </w:style>
  <w:style w:type="paragraph" w:styleId="Heading5">
    <w:name w:val="heading 5"/>
    <w:basedOn w:val="HeadingBase"/>
    <w:next w:val="Normal"/>
    <w:link w:val="Heading5Char"/>
    <w:qFormat/>
    <w:rsid w:val="0036403E"/>
    <w:pPr>
      <w:spacing w:before="80"/>
      <w:outlineLvl w:val="4"/>
    </w:pPr>
    <w:rPr>
      <w:color w:val="918585"/>
      <w:sz w:val="20"/>
    </w:rPr>
  </w:style>
  <w:style w:type="paragraph" w:styleId="Heading6">
    <w:name w:val="heading 6"/>
    <w:basedOn w:val="HeadingBase"/>
    <w:next w:val="Normal"/>
    <w:link w:val="Heading6Char"/>
    <w:qFormat/>
    <w:rsid w:val="0036403E"/>
    <w:pPr>
      <w:spacing w:before="60"/>
      <w:outlineLvl w:val="5"/>
    </w:pPr>
    <w:rPr>
      <w:color w:val="918585"/>
      <w:sz w:val="20"/>
    </w:rPr>
  </w:style>
  <w:style w:type="paragraph" w:styleId="Heading7">
    <w:name w:val="heading 7"/>
    <w:basedOn w:val="Normal"/>
    <w:next w:val="Normal"/>
    <w:link w:val="Heading7Char"/>
    <w:qFormat/>
    <w:rsid w:val="0036403E"/>
    <w:pPr>
      <w:ind w:left="720"/>
      <w:outlineLvl w:val="6"/>
    </w:pPr>
    <w:rPr>
      <w:i/>
    </w:rPr>
  </w:style>
  <w:style w:type="paragraph" w:styleId="Heading8">
    <w:name w:val="heading 8"/>
    <w:basedOn w:val="Normal"/>
    <w:next w:val="Normal"/>
    <w:link w:val="Heading8Char"/>
    <w:qFormat/>
    <w:rsid w:val="0036403E"/>
    <w:pPr>
      <w:ind w:left="720"/>
      <w:outlineLvl w:val="7"/>
    </w:pPr>
    <w:rPr>
      <w:i/>
    </w:rPr>
  </w:style>
  <w:style w:type="paragraph" w:styleId="Heading9">
    <w:name w:val="heading 9"/>
    <w:basedOn w:val="Normal"/>
    <w:next w:val="Normal"/>
    <w:link w:val="Heading9Char"/>
    <w:qFormat/>
    <w:rsid w:val="0036403E"/>
    <w:pPr>
      <w:ind w:left="720"/>
      <w:outlineLvl w:val="8"/>
    </w:pPr>
    <w:rPr>
      <w:i/>
    </w:rPr>
  </w:style>
  <w:style w:type="character" w:default="1" w:styleId="DefaultParagraphFont">
    <w:name w:val="Default Paragraph Font"/>
    <w:uiPriority w:val="1"/>
    <w:unhideWhenUsed/>
    <w:rsid w:val="003640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03E"/>
  </w:style>
  <w:style w:type="character" w:customStyle="1" w:styleId="Heading1Char">
    <w:name w:val="Heading 1 Char"/>
    <w:basedOn w:val="DefaultParagraphFont"/>
    <w:link w:val="Heading1"/>
    <w:rsid w:val="0036403E"/>
    <w:rPr>
      <w:rFonts w:ascii="Times New Roman" w:eastAsia="Times New Roman" w:hAnsi="Times New Roman" w:cs="Times New Roman"/>
      <w:b/>
      <w:sz w:val="32"/>
      <w:szCs w:val="20"/>
      <w:lang w:eastAsia="en-US"/>
    </w:rPr>
  </w:style>
  <w:style w:type="paragraph" w:styleId="BodyText">
    <w:name w:val="Body Text"/>
    <w:basedOn w:val="Normal"/>
    <w:link w:val="BodyTextChar"/>
    <w:rsid w:val="003640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403E"/>
    <w:rPr>
      <w:rFonts w:ascii="Times New Roman" w:eastAsia="Times New Roman" w:hAnsi="Times New Roman" w:cs="Times New Roman"/>
      <w:sz w:val="24"/>
      <w:lang w:val="en-US" w:eastAsia="en-US"/>
    </w:rPr>
  </w:style>
  <w:style w:type="paragraph" w:styleId="Footer">
    <w:name w:val="footer"/>
    <w:basedOn w:val="Normal"/>
    <w:link w:val="FooterChar"/>
    <w:rsid w:val="003640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03E"/>
    <w:rPr>
      <w:rFonts w:ascii="Times New Roman" w:eastAsia="Times New Roman" w:hAnsi="Times New Roman" w:cs="Times New Roman"/>
      <w:sz w:val="16"/>
      <w:lang w:val="en-US" w:eastAsia="en-US"/>
    </w:rPr>
  </w:style>
  <w:style w:type="paragraph" w:styleId="List">
    <w:name w:val="List"/>
    <w:basedOn w:val="BodyText"/>
    <w:next w:val="BodyText"/>
    <w:rsid w:val="0036403E"/>
    <w:pPr>
      <w:tabs>
        <w:tab w:val="left" w:pos="340"/>
      </w:tabs>
      <w:spacing w:before="60" w:after="60"/>
      <w:ind w:left="340" w:hanging="340"/>
    </w:pPr>
  </w:style>
  <w:style w:type="paragraph" w:styleId="ListBullet">
    <w:name w:val="List Bullet"/>
    <w:basedOn w:val="List"/>
    <w:rsid w:val="0036403E"/>
    <w:pPr>
      <w:numPr>
        <w:numId w:val="13"/>
      </w:numPr>
      <w:tabs>
        <w:tab w:val="clear" w:pos="340"/>
      </w:tabs>
      <w:spacing w:before="40" w:after="40"/>
    </w:pPr>
  </w:style>
  <w:style w:type="character" w:customStyle="1" w:styleId="SpecialBold">
    <w:name w:val="Special Bold"/>
    <w:basedOn w:val="DefaultParagraphFont"/>
    <w:rsid w:val="0036403E"/>
    <w:rPr>
      <w:b/>
      <w:spacing w:val="0"/>
    </w:rPr>
  </w:style>
  <w:style w:type="paragraph" w:styleId="ListBullet2">
    <w:name w:val="List Bullet 2"/>
    <w:basedOn w:val="List2"/>
    <w:rsid w:val="0036403E"/>
    <w:pPr>
      <w:numPr>
        <w:numId w:val="14"/>
      </w:numPr>
      <w:tabs>
        <w:tab w:val="clear" w:pos="680"/>
      </w:tabs>
    </w:pPr>
  </w:style>
  <w:style w:type="paragraph" w:styleId="Header">
    <w:name w:val="header"/>
    <w:basedOn w:val="Normal"/>
    <w:link w:val="HeaderChar"/>
    <w:rsid w:val="003640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0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403E"/>
    <w:pPr>
      <w:spacing w:before="240" w:after="120"/>
      <w:outlineLvl w:val="0"/>
    </w:pPr>
    <w:rPr>
      <w:rFonts w:ascii="Times New Roman" w:hAnsi="Times New Roman"/>
      <w:b/>
      <w:sz w:val="28"/>
    </w:rPr>
  </w:style>
  <w:style w:type="paragraph" w:customStyle="1" w:styleId="AllowPageBreak">
    <w:name w:val="AllowPageBreak"/>
    <w:rsid w:val="003640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403E"/>
    <w:rPr>
      <w:b/>
      <w:i/>
      <w:u w:val="none"/>
    </w:rPr>
  </w:style>
  <w:style w:type="character" w:customStyle="1" w:styleId="Heading2Char">
    <w:name w:val="Heading 2 Char"/>
    <w:basedOn w:val="DefaultParagraphFont"/>
    <w:link w:val="Heading2"/>
    <w:rsid w:val="003640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0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0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0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0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0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40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403E"/>
    <w:rPr>
      <w:rFonts w:ascii="Courier New" w:eastAsia="Times New Roman" w:hAnsi="Courier New" w:cs="Times New Roman"/>
      <w:i/>
      <w:szCs w:val="20"/>
      <w:lang w:val="en-US" w:eastAsia="en-US"/>
    </w:rPr>
  </w:style>
  <w:style w:type="paragraph" w:customStyle="1" w:styleId="HeadingBase">
    <w:name w:val="Heading Base"/>
    <w:rsid w:val="003640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03E"/>
    <w:pPr>
      <w:tabs>
        <w:tab w:val="right" w:leader="dot" w:pos="9072"/>
      </w:tabs>
      <w:ind w:left="567"/>
    </w:pPr>
    <w:rPr>
      <w:szCs w:val="22"/>
    </w:rPr>
  </w:style>
  <w:style w:type="paragraph" w:customStyle="1" w:styleId="TOCBase">
    <w:name w:val="TOC Base"/>
    <w:rsid w:val="003640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03E"/>
    <w:pPr>
      <w:tabs>
        <w:tab w:val="right" w:leader="dot" w:pos="9072"/>
      </w:tabs>
      <w:spacing w:before="40" w:after="40"/>
      <w:ind w:left="284"/>
    </w:pPr>
    <w:rPr>
      <w:rFonts w:ascii="Times New Roman" w:hAnsi="Times New Roman"/>
    </w:rPr>
  </w:style>
  <w:style w:type="paragraph" w:styleId="TOC1">
    <w:name w:val="toc 1"/>
    <w:basedOn w:val="TOCBase"/>
    <w:next w:val="Normal"/>
    <w:rsid w:val="003640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403E"/>
    <w:pPr>
      <w:spacing w:before="5040"/>
      <w:jc w:val="center"/>
    </w:pPr>
    <w:rPr>
      <w:sz w:val="48"/>
      <w:szCs w:val="72"/>
      <w:lang w:val="en-US"/>
    </w:rPr>
  </w:style>
  <w:style w:type="character" w:customStyle="1" w:styleId="TitleChar">
    <w:name w:val="Title Char"/>
    <w:basedOn w:val="DefaultParagraphFont"/>
    <w:link w:val="Title"/>
    <w:rsid w:val="003640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03E"/>
    <w:pPr>
      <w:tabs>
        <w:tab w:val="left" w:pos="3600"/>
        <w:tab w:val="left" w:pos="3958"/>
      </w:tabs>
    </w:pPr>
  </w:style>
  <w:style w:type="paragraph" w:customStyle="1" w:styleId="Note">
    <w:name w:val="Note"/>
    <w:basedOn w:val="BodyText"/>
    <w:rsid w:val="003640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03E"/>
    <w:pPr>
      <w:framePr w:wrap="auto" w:hAnchor="text" w:y="6049"/>
    </w:pPr>
    <w:rPr>
      <w:color w:val="000000"/>
      <w:sz w:val="40"/>
    </w:rPr>
  </w:style>
  <w:style w:type="paragraph" w:customStyle="1" w:styleId="TOCTitle">
    <w:name w:val="TOCTitle"/>
    <w:basedOn w:val="Heading1"/>
    <w:rsid w:val="0036403E"/>
    <w:pPr>
      <w:spacing w:after="240"/>
      <w:jc w:val="center"/>
      <w:outlineLvl w:val="9"/>
    </w:pPr>
    <w:rPr>
      <w:caps/>
    </w:rPr>
  </w:style>
  <w:style w:type="paragraph" w:customStyle="1" w:styleId="Version">
    <w:name w:val="Version"/>
    <w:rsid w:val="003640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403E"/>
    <w:pPr>
      <w:keepNext w:val="0"/>
      <w:tabs>
        <w:tab w:val="right" w:pos="4176"/>
      </w:tabs>
      <w:ind w:left="198" w:hanging="198"/>
    </w:pPr>
    <w:rPr>
      <w:rFonts w:ascii="Garamond" w:hAnsi="Garamond"/>
    </w:rPr>
  </w:style>
  <w:style w:type="paragraph" w:styleId="IndexHeading">
    <w:name w:val="index heading"/>
    <w:basedOn w:val="Normal"/>
    <w:next w:val="Index1"/>
    <w:semiHidden/>
    <w:rsid w:val="0036403E"/>
    <w:pPr>
      <w:spacing w:before="120" w:after="120"/>
    </w:pPr>
    <w:rPr>
      <w:rFonts w:ascii="Arial" w:hAnsi="Arial"/>
      <w:b/>
      <w:color w:val="918585"/>
      <w:sz w:val="24"/>
    </w:rPr>
  </w:style>
  <w:style w:type="paragraph" w:customStyle="1" w:styleId="Chapter">
    <w:name w:val="Chapter"/>
    <w:basedOn w:val="Normal"/>
    <w:rsid w:val="0036403E"/>
    <w:pPr>
      <w:spacing w:before="240"/>
    </w:pPr>
    <w:rPr>
      <w:rFonts w:ascii="Times New Roman" w:hAnsi="Times New Roman"/>
      <w:smallCaps/>
      <w:spacing w:val="80"/>
      <w:sz w:val="28"/>
    </w:rPr>
  </w:style>
  <w:style w:type="paragraph" w:customStyle="1" w:styleId="InChapter">
    <w:name w:val="InChapter"/>
    <w:basedOn w:val="Heading3"/>
    <w:rsid w:val="0036403E"/>
    <w:pPr>
      <w:spacing w:after="240"/>
      <w:outlineLvl w:val="9"/>
    </w:pPr>
    <w:rPr>
      <w:noProof/>
    </w:rPr>
  </w:style>
  <w:style w:type="paragraph" w:styleId="Index2">
    <w:name w:val="index 2"/>
    <w:basedOn w:val="Normal"/>
    <w:next w:val="Normal"/>
    <w:semiHidden/>
    <w:rsid w:val="0036403E"/>
    <w:pPr>
      <w:tabs>
        <w:tab w:val="right" w:pos="4176"/>
      </w:tabs>
      <w:ind w:left="568" w:hanging="284"/>
    </w:pPr>
    <w:rPr>
      <w:rFonts w:ascii="Garamond" w:hAnsi="Garamond"/>
    </w:rPr>
  </w:style>
  <w:style w:type="paragraph" w:customStyle="1" w:styleId="Byline">
    <w:name w:val="Byline"/>
    <w:rsid w:val="003640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03E"/>
    <w:pPr>
      <w:tabs>
        <w:tab w:val="clear" w:pos="3600"/>
        <w:tab w:val="clear" w:pos="3958"/>
      </w:tabs>
      <w:jc w:val="right"/>
    </w:pPr>
  </w:style>
  <w:style w:type="character" w:styleId="Emphasis">
    <w:name w:val="Emphasis"/>
    <w:basedOn w:val="DefaultParagraphFont"/>
    <w:qFormat/>
    <w:rsid w:val="0036403E"/>
    <w:rPr>
      <w:i/>
    </w:rPr>
  </w:style>
  <w:style w:type="paragraph" w:styleId="Caption">
    <w:name w:val="caption"/>
    <w:basedOn w:val="BodyText"/>
    <w:next w:val="Normal"/>
    <w:qFormat/>
    <w:rsid w:val="0036403E"/>
    <w:pPr>
      <w:framePr w:w="2268" w:hSpace="181" w:vSpace="181" w:wrap="around" w:vAnchor="text" w:hAnchor="page" w:x="1135" w:y="285" w:anchorLock="1"/>
    </w:pPr>
    <w:rPr>
      <w:i/>
    </w:rPr>
  </w:style>
  <w:style w:type="paragraph" w:customStyle="1" w:styleId="MiniTOCTitle">
    <w:name w:val="MiniTOCTitle"/>
    <w:basedOn w:val="Heading4"/>
    <w:rsid w:val="0036403E"/>
    <w:pPr>
      <w:spacing w:before="240"/>
      <w:outlineLvl w:val="9"/>
    </w:pPr>
    <w:rPr>
      <w:noProof/>
      <w:sz w:val="24"/>
    </w:rPr>
  </w:style>
  <w:style w:type="paragraph" w:customStyle="1" w:styleId="MiniTOCItem">
    <w:name w:val="MiniTOCItem"/>
    <w:basedOn w:val="ListBullet"/>
    <w:rsid w:val="0036403E"/>
    <w:pPr>
      <w:numPr>
        <w:numId w:val="0"/>
      </w:numPr>
      <w:tabs>
        <w:tab w:val="right" w:leader="dot" w:pos="6521"/>
      </w:tabs>
      <w:spacing w:before="0" w:after="0"/>
    </w:pPr>
  </w:style>
  <w:style w:type="paragraph" w:customStyle="1" w:styleId="TOFTitle">
    <w:name w:val="TOFTitle"/>
    <w:basedOn w:val="TOCTitle"/>
    <w:rsid w:val="0036403E"/>
  </w:style>
  <w:style w:type="paragraph" w:styleId="TableofFigures">
    <w:name w:val="table of figures"/>
    <w:basedOn w:val="Normal"/>
    <w:next w:val="Normal"/>
    <w:semiHidden/>
    <w:rsid w:val="0036403E"/>
    <w:pPr>
      <w:tabs>
        <w:tab w:val="right" w:leader="dot" w:pos="9072"/>
      </w:tabs>
      <w:ind w:left="970" w:hanging="403"/>
    </w:pPr>
    <w:rPr>
      <w:rFonts w:ascii="Times New Roman" w:hAnsi="Times New Roman"/>
      <w:b/>
    </w:rPr>
  </w:style>
  <w:style w:type="paragraph" w:styleId="ListNumber">
    <w:name w:val="List Number"/>
    <w:basedOn w:val="List"/>
    <w:rsid w:val="0036403E"/>
    <w:pPr>
      <w:numPr>
        <w:numId w:val="11"/>
      </w:numPr>
    </w:pPr>
  </w:style>
  <w:style w:type="character" w:customStyle="1" w:styleId="WingdingSymbols">
    <w:name w:val="Wingding Symbols"/>
    <w:rsid w:val="0036403E"/>
    <w:rPr>
      <w:rFonts w:ascii="Wingdings" w:hAnsi="Wingdings"/>
    </w:rPr>
  </w:style>
  <w:style w:type="paragraph" w:customStyle="1" w:styleId="TableHeading">
    <w:name w:val="Table Heading"/>
    <w:basedOn w:val="HeadingBase"/>
    <w:rsid w:val="0036403E"/>
    <w:pPr>
      <w:keepLines/>
      <w:pBdr>
        <w:bottom w:val="single" w:sz="6" w:space="1" w:color="918585"/>
      </w:pBdr>
      <w:spacing w:before="240"/>
    </w:pPr>
  </w:style>
  <w:style w:type="character" w:customStyle="1" w:styleId="HotSpot">
    <w:name w:val="HotSpot"/>
    <w:rsid w:val="0036403E"/>
    <w:rPr>
      <w:color w:val="0033CC"/>
      <w:u w:val="none"/>
    </w:rPr>
  </w:style>
  <w:style w:type="paragraph" w:customStyle="1" w:styleId="BodyTextRight">
    <w:name w:val="Body Text Right"/>
    <w:basedOn w:val="BodyText"/>
    <w:rsid w:val="0036403E"/>
    <w:pPr>
      <w:spacing w:before="0" w:after="0"/>
      <w:jc w:val="right"/>
    </w:pPr>
  </w:style>
  <w:style w:type="paragraph" w:styleId="Index3">
    <w:name w:val="index 3"/>
    <w:basedOn w:val="ListNumber2"/>
    <w:next w:val="Normal"/>
    <w:semiHidden/>
    <w:rsid w:val="0036403E"/>
    <w:pPr>
      <w:numPr>
        <w:numId w:val="0"/>
      </w:numPr>
      <w:tabs>
        <w:tab w:val="right" w:leader="dot" w:pos="4176"/>
      </w:tabs>
    </w:pPr>
  </w:style>
  <w:style w:type="paragraph" w:styleId="ListNumber2">
    <w:name w:val="List Number 2"/>
    <w:basedOn w:val="List2"/>
    <w:rsid w:val="0036403E"/>
    <w:pPr>
      <w:numPr>
        <w:numId w:val="10"/>
      </w:numPr>
      <w:tabs>
        <w:tab w:val="clear" w:pos="1060"/>
      </w:tabs>
    </w:pPr>
  </w:style>
  <w:style w:type="paragraph" w:customStyle="1" w:styleId="MarginNote">
    <w:name w:val="Margin Note"/>
    <w:basedOn w:val="BodyText"/>
    <w:rsid w:val="003640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0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0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403E"/>
    <w:rPr>
      <w:sz w:val="32"/>
    </w:rPr>
  </w:style>
  <w:style w:type="paragraph" w:customStyle="1" w:styleId="HeadingProcedure">
    <w:name w:val="Heading Procedure"/>
    <w:basedOn w:val="HeadingBase"/>
    <w:next w:val="Normal"/>
    <w:rsid w:val="0036403E"/>
    <w:pPr>
      <w:tabs>
        <w:tab w:val="left" w:pos="0"/>
      </w:tabs>
      <w:spacing w:before="120" w:after="60"/>
    </w:pPr>
    <w:rPr>
      <w:i/>
      <w:color w:val="918585"/>
      <w:sz w:val="22"/>
    </w:rPr>
  </w:style>
  <w:style w:type="paragraph" w:customStyle="1" w:styleId="TableBodyText">
    <w:name w:val="Table Body Text"/>
    <w:basedOn w:val="BodyText"/>
    <w:rsid w:val="0036403E"/>
    <w:pPr>
      <w:spacing w:before="60" w:after="60"/>
    </w:pPr>
  </w:style>
  <w:style w:type="paragraph" w:styleId="ListContinue">
    <w:name w:val="List Continue"/>
    <w:basedOn w:val="List"/>
    <w:rsid w:val="0036403E"/>
    <w:pPr>
      <w:ind w:firstLine="0"/>
    </w:pPr>
  </w:style>
  <w:style w:type="paragraph" w:customStyle="1" w:styleId="ListNote">
    <w:name w:val="List Note"/>
    <w:basedOn w:val="List"/>
    <w:rsid w:val="0036403E"/>
    <w:pPr>
      <w:pBdr>
        <w:top w:val="single" w:sz="6" w:space="2" w:color="918585"/>
        <w:bottom w:val="single" w:sz="6" w:space="2" w:color="918585"/>
      </w:pBdr>
      <w:tabs>
        <w:tab w:val="left" w:pos="1021"/>
      </w:tabs>
      <w:ind w:firstLine="0"/>
    </w:pPr>
  </w:style>
  <w:style w:type="paragraph" w:customStyle="1" w:styleId="Warning">
    <w:name w:val="Warning"/>
    <w:basedOn w:val="BodyText"/>
    <w:rsid w:val="0036403E"/>
    <w:pPr>
      <w:shd w:val="clear" w:color="auto" w:fill="D9D9D9"/>
      <w:tabs>
        <w:tab w:val="left" w:pos="992"/>
      </w:tabs>
      <w:ind w:left="119" w:right="119"/>
    </w:pPr>
    <w:rPr>
      <w:sz w:val="20"/>
    </w:rPr>
  </w:style>
  <w:style w:type="paragraph" w:customStyle="1" w:styleId="MarginIcons">
    <w:name w:val="Margin Icons"/>
    <w:basedOn w:val="BodyText"/>
    <w:rsid w:val="003640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03E"/>
    <w:rPr>
      <w:rFonts w:ascii="Courier New" w:hAnsi="Courier New"/>
    </w:rPr>
  </w:style>
  <w:style w:type="paragraph" w:customStyle="1" w:styleId="NoteBullet">
    <w:name w:val="Note Bullet"/>
    <w:basedOn w:val="Note"/>
    <w:rsid w:val="0036403E"/>
    <w:pPr>
      <w:tabs>
        <w:tab w:val="clear" w:pos="680"/>
      </w:tabs>
      <w:spacing w:before="60" w:after="60"/>
    </w:pPr>
  </w:style>
  <w:style w:type="paragraph" w:customStyle="1" w:styleId="SubHeading2">
    <w:name w:val="SubHeading2"/>
    <w:basedOn w:val="HeadingBase"/>
    <w:rsid w:val="0036403E"/>
    <w:pPr>
      <w:spacing w:before="240" w:after="60"/>
    </w:pPr>
    <w:rPr>
      <w:sz w:val="20"/>
    </w:rPr>
  </w:style>
  <w:style w:type="paragraph" w:customStyle="1" w:styleId="SubHeading1">
    <w:name w:val="SubHeading1"/>
    <w:basedOn w:val="HeadingBase"/>
    <w:rsid w:val="0036403E"/>
    <w:pPr>
      <w:spacing w:before="240" w:after="60"/>
    </w:pPr>
    <w:rPr>
      <w:color w:val="918585"/>
      <w:sz w:val="22"/>
    </w:rPr>
  </w:style>
  <w:style w:type="paragraph" w:customStyle="1" w:styleId="SideHeading">
    <w:name w:val="Side Heading"/>
    <w:basedOn w:val="HeadingBase"/>
    <w:rsid w:val="003640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03E"/>
    <w:pPr>
      <w:numPr>
        <w:numId w:val="12"/>
      </w:numPr>
    </w:pPr>
  </w:style>
  <w:style w:type="paragraph" w:styleId="PlainText">
    <w:name w:val="Plain Text"/>
    <w:basedOn w:val="Normal"/>
    <w:link w:val="PlainTextChar"/>
    <w:rsid w:val="0036403E"/>
    <w:rPr>
      <w:sz w:val="20"/>
    </w:rPr>
  </w:style>
  <w:style w:type="character" w:customStyle="1" w:styleId="PlainTextChar">
    <w:name w:val="Plain Text Char"/>
    <w:basedOn w:val="DefaultParagraphFont"/>
    <w:link w:val="PlainText"/>
    <w:rsid w:val="0036403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403E"/>
    <w:rPr>
      <w:b/>
      <w:smallCaps/>
    </w:rPr>
  </w:style>
  <w:style w:type="paragraph" w:customStyle="1" w:styleId="TableListNumber">
    <w:name w:val="Table List Number"/>
    <w:basedOn w:val="ListNumber"/>
    <w:rsid w:val="0036403E"/>
    <w:pPr>
      <w:numPr>
        <w:numId w:val="0"/>
      </w:numPr>
    </w:pPr>
  </w:style>
  <w:style w:type="paragraph" w:styleId="TOC4">
    <w:name w:val="toc 4"/>
    <w:basedOn w:val="TOCBase"/>
    <w:next w:val="Normal"/>
    <w:semiHidden/>
    <w:rsid w:val="0036403E"/>
    <w:pPr>
      <w:tabs>
        <w:tab w:val="right" w:leader="dot" w:pos="9071"/>
      </w:tabs>
      <w:ind w:left="1701"/>
    </w:pPr>
  </w:style>
  <w:style w:type="paragraph" w:customStyle="1" w:styleId="ListAlpha">
    <w:name w:val="List Alpha"/>
    <w:basedOn w:val="List"/>
    <w:rsid w:val="0036403E"/>
    <w:pPr>
      <w:numPr>
        <w:numId w:val="9"/>
      </w:numPr>
    </w:pPr>
  </w:style>
  <w:style w:type="paragraph" w:customStyle="1" w:styleId="ListAlpha2">
    <w:name w:val="List Alpha 2"/>
    <w:basedOn w:val="List2"/>
    <w:rsid w:val="0036403E"/>
    <w:pPr>
      <w:numPr>
        <w:numId w:val="8"/>
      </w:numPr>
    </w:pPr>
  </w:style>
  <w:style w:type="paragraph" w:styleId="List2">
    <w:name w:val="List 2"/>
    <w:basedOn w:val="BodyText"/>
    <w:rsid w:val="0036403E"/>
    <w:pPr>
      <w:tabs>
        <w:tab w:val="left" w:pos="680"/>
      </w:tabs>
      <w:spacing w:before="60" w:after="60"/>
      <w:ind w:left="680" w:hanging="340"/>
    </w:pPr>
  </w:style>
  <w:style w:type="paragraph" w:styleId="List3">
    <w:name w:val="List 3"/>
    <w:basedOn w:val="BodyText"/>
    <w:rsid w:val="0036403E"/>
    <w:pPr>
      <w:tabs>
        <w:tab w:val="left" w:pos="1021"/>
      </w:tabs>
      <w:spacing w:before="60" w:after="60"/>
      <w:ind w:left="1020" w:hanging="340"/>
    </w:pPr>
  </w:style>
  <w:style w:type="paragraph" w:styleId="List4">
    <w:name w:val="List 4"/>
    <w:basedOn w:val="BodyText"/>
    <w:rsid w:val="0036403E"/>
    <w:pPr>
      <w:tabs>
        <w:tab w:val="left" w:pos="1361"/>
      </w:tabs>
      <w:spacing w:before="60" w:after="60"/>
      <w:ind w:left="1361" w:hanging="340"/>
    </w:pPr>
  </w:style>
  <w:style w:type="paragraph" w:styleId="List5">
    <w:name w:val="List 5"/>
    <w:basedOn w:val="BodyText"/>
    <w:rsid w:val="0036403E"/>
    <w:pPr>
      <w:tabs>
        <w:tab w:val="left" w:pos="1701"/>
      </w:tabs>
      <w:spacing w:before="60" w:after="60"/>
      <w:ind w:left="1701" w:hanging="340"/>
    </w:pPr>
  </w:style>
  <w:style w:type="paragraph" w:styleId="ListBullet3">
    <w:name w:val="List Bullet 3"/>
    <w:basedOn w:val="List3"/>
    <w:rsid w:val="0036403E"/>
    <w:pPr>
      <w:numPr>
        <w:numId w:val="15"/>
      </w:numPr>
      <w:tabs>
        <w:tab w:val="clear" w:pos="1021"/>
      </w:tabs>
      <w:ind w:left="1037" w:hanging="357"/>
    </w:pPr>
  </w:style>
  <w:style w:type="paragraph" w:styleId="ListBullet4">
    <w:name w:val="List Bullet 4"/>
    <w:basedOn w:val="List4"/>
    <w:rsid w:val="0036403E"/>
    <w:pPr>
      <w:numPr>
        <w:numId w:val="3"/>
      </w:numPr>
    </w:pPr>
  </w:style>
  <w:style w:type="paragraph" w:styleId="ListBullet5">
    <w:name w:val="List Bullet 5"/>
    <w:basedOn w:val="List5"/>
    <w:rsid w:val="0036403E"/>
    <w:pPr>
      <w:numPr>
        <w:numId w:val="4"/>
      </w:numPr>
    </w:pPr>
  </w:style>
  <w:style w:type="paragraph" w:styleId="ListContinue2">
    <w:name w:val="List Continue 2"/>
    <w:basedOn w:val="List2"/>
    <w:rsid w:val="0036403E"/>
    <w:pPr>
      <w:ind w:firstLine="0"/>
    </w:pPr>
  </w:style>
  <w:style w:type="paragraph" w:styleId="ListContinue3">
    <w:name w:val="List Continue 3"/>
    <w:basedOn w:val="List3"/>
    <w:rsid w:val="0036403E"/>
    <w:pPr>
      <w:ind w:left="1021" w:firstLine="0"/>
    </w:pPr>
  </w:style>
  <w:style w:type="paragraph" w:styleId="ListContinue4">
    <w:name w:val="List Continue 4"/>
    <w:basedOn w:val="List4"/>
    <w:rsid w:val="0036403E"/>
    <w:pPr>
      <w:ind w:firstLine="0"/>
    </w:pPr>
  </w:style>
  <w:style w:type="paragraph" w:styleId="ListContinue5">
    <w:name w:val="List Continue 5"/>
    <w:basedOn w:val="List5"/>
    <w:rsid w:val="0036403E"/>
    <w:pPr>
      <w:ind w:firstLine="0"/>
    </w:pPr>
  </w:style>
  <w:style w:type="paragraph" w:styleId="ListNumber3">
    <w:name w:val="List Number 3"/>
    <w:basedOn w:val="List3"/>
    <w:rsid w:val="0036403E"/>
    <w:pPr>
      <w:numPr>
        <w:numId w:val="5"/>
      </w:numPr>
    </w:pPr>
  </w:style>
  <w:style w:type="paragraph" w:styleId="ListNumber4">
    <w:name w:val="List Number 4"/>
    <w:basedOn w:val="List4"/>
    <w:rsid w:val="0036403E"/>
    <w:pPr>
      <w:numPr>
        <w:numId w:val="6"/>
      </w:numPr>
    </w:pPr>
  </w:style>
  <w:style w:type="paragraph" w:styleId="ListNumber5">
    <w:name w:val="List Number 5"/>
    <w:basedOn w:val="List5"/>
    <w:rsid w:val="0036403E"/>
    <w:pPr>
      <w:numPr>
        <w:numId w:val="7"/>
      </w:numPr>
    </w:pPr>
  </w:style>
  <w:style w:type="paragraph" w:styleId="BlockText">
    <w:name w:val="Block Text"/>
    <w:basedOn w:val="Normal"/>
    <w:rsid w:val="0036403E"/>
    <w:pPr>
      <w:spacing w:after="120"/>
      <w:ind w:left="1440" w:right="1440"/>
    </w:pPr>
  </w:style>
  <w:style w:type="character" w:customStyle="1" w:styleId="Subscript">
    <w:name w:val="Subscript"/>
    <w:basedOn w:val="DefaultParagraphFont"/>
    <w:rsid w:val="0036403E"/>
    <w:rPr>
      <w:sz w:val="16"/>
      <w:vertAlign w:val="subscript"/>
    </w:rPr>
  </w:style>
  <w:style w:type="character" w:customStyle="1" w:styleId="Superscript">
    <w:name w:val="Superscript"/>
    <w:basedOn w:val="DefaultParagraphFont"/>
    <w:rsid w:val="0036403E"/>
    <w:rPr>
      <w:sz w:val="16"/>
      <w:vertAlign w:val="superscript"/>
    </w:rPr>
  </w:style>
  <w:style w:type="character" w:customStyle="1" w:styleId="Symbols">
    <w:name w:val="Symbols"/>
    <w:basedOn w:val="DefaultParagraphFont"/>
    <w:rsid w:val="0036403E"/>
    <w:rPr>
      <w:rFonts w:ascii="Symbol" w:hAnsi="Symbol"/>
    </w:rPr>
  </w:style>
  <w:style w:type="character" w:customStyle="1" w:styleId="MenuOptions">
    <w:name w:val="Menu Options"/>
    <w:basedOn w:val="DefaultParagraphFont"/>
    <w:rsid w:val="0036403E"/>
    <w:rPr>
      <w:rFonts w:ascii="Arial Narrow" w:hAnsi="Arial Narrow"/>
      <w:smallCaps/>
    </w:rPr>
  </w:style>
  <w:style w:type="character" w:customStyle="1" w:styleId="Buttons">
    <w:name w:val="Buttons"/>
    <w:basedOn w:val="DefaultParagraphFont"/>
    <w:rsid w:val="0036403E"/>
    <w:rPr>
      <w:b/>
    </w:rPr>
  </w:style>
  <w:style w:type="character" w:customStyle="1" w:styleId="Underlined">
    <w:name w:val="Underlined"/>
    <w:basedOn w:val="DefaultParagraphFont"/>
    <w:rsid w:val="0036403E"/>
    <w:rPr>
      <w:u w:val="single"/>
    </w:rPr>
  </w:style>
  <w:style w:type="paragraph" w:customStyle="1" w:styleId="TableBodyTextRight">
    <w:name w:val="Table Body Text Right"/>
    <w:basedOn w:val="TableBodyText"/>
    <w:rsid w:val="0036403E"/>
    <w:pPr>
      <w:widowControl w:val="0"/>
      <w:autoSpaceDE w:val="0"/>
      <w:autoSpaceDN w:val="0"/>
      <w:adjustRightInd w:val="0"/>
      <w:jc w:val="right"/>
    </w:pPr>
    <w:rPr>
      <w:rFonts w:cs="Arial"/>
      <w:szCs w:val="18"/>
    </w:rPr>
  </w:style>
  <w:style w:type="paragraph" w:customStyle="1" w:styleId="CopyrightText">
    <w:name w:val="Copyright Text"/>
    <w:basedOn w:val="BodyText"/>
    <w:rsid w:val="0036403E"/>
    <w:rPr>
      <w:sz w:val="18"/>
    </w:rPr>
  </w:style>
  <w:style w:type="paragraph" w:customStyle="1" w:styleId="BodySmallRight">
    <w:name w:val="Body Small Right"/>
    <w:basedOn w:val="BodyTextRight"/>
    <w:rsid w:val="0036403E"/>
    <w:rPr>
      <w:sz w:val="18"/>
      <w:szCs w:val="18"/>
    </w:rPr>
  </w:style>
  <w:style w:type="paragraph" w:customStyle="1" w:styleId="MarginEdition">
    <w:name w:val="Margin Edition"/>
    <w:basedOn w:val="MarginNote"/>
    <w:rsid w:val="0036403E"/>
    <w:pPr>
      <w:spacing w:before="0" w:after="0"/>
    </w:pPr>
    <w:rPr>
      <w:rFonts w:ascii="Times New Roman" w:hAnsi="Times New Roman"/>
      <w:color w:val="999999"/>
    </w:rPr>
  </w:style>
  <w:style w:type="paragraph" w:customStyle="1" w:styleId="Spacer">
    <w:name w:val="Spacer"/>
    <w:basedOn w:val="Normal"/>
    <w:rsid w:val="0036403E"/>
    <w:rPr>
      <w:sz w:val="2"/>
      <w:szCs w:val="2"/>
    </w:rPr>
  </w:style>
  <w:style w:type="character" w:customStyle="1" w:styleId="Small">
    <w:name w:val="Small"/>
    <w:basedOn w:val="DefaultParagraphFont"/>
    <w:rsid w:val="0036403E"/>
    <w:rPr>
      <w:sz w:val="16"/>
    </w:rPr>
  </w:style>
  <w:style w:type="paragraph" w:customStyle="1" w:styleId="WideTable">
    <w:name w:val="Wide Table"/>
    <w:basedOn w:val="Normal"/>
    <w:rsid w:val="0036403E"/>
    <w:pPr>
      <w:ind w:left="-1418"/>
    </w:pPr>
    <w:rPr>
      <w:sz w:val="2"/>
      <w:szCs w:val="2"/>
    </w:rPr>
  </w:style>
  <w:style w:type="character" w:styleId="PageNumber">
    <w:name w:val="page number"/>
    <w:basedOn w:val="DefaultParagraphFont"/>
    <w:rsid w:val="0036403E"/>
  </w:style>
  <w:style w:type="paragraph" w:styleId="Quote">
    <w:name w:val="Quote"/>
    <w:basedOn w:val="Heading1"/>
    <w:link w:val="QuoteChar"/>
    <w:qFormat/>
    <w:rsid w:val="0036403E"/>
    <w:rPr>
      <w:b w:val="0"/>
      <w:sz w:val="72"/>
      <w:szCs w:val="72"/>
      <w:lang w:val="en-NZ"/>
    </w:rPr>
  </w:style>
  <w:style w:type="character" w:customStyle="1" w:styleId="QuoteChar">
    <w:name w:val="Quote Char"/>
    <w:basedOn w:val="DefaultParagraphFont"/>
    <w:link w:val="Quote"/>
    <w:rsid w:val="003640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03E"/>
    <w:pPr>
      <w:pageBreakBefore/>
    </w:pPr>
  </w:style>
  <w:style w:type="paragraph" w:customStyle="1" w:styleId="Border">
    <w:name w:val="Border"/>
    <w:basedOn w:val="Normal"/>
    <w:qFormat/>
    <w:rsid w:val="003640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03E"/>
    <w:rPr>
      <w:b/>
      <w:bCs/>
      <w:i/>
      <w:iCs/>
      <w:color w:val="auto"/>
    </w:rPr>
  </w:style>
  <w:style w:type="paragraph" w:styleId="IntenseQuote">
    <w:name w:val="Intense Quote"/>
    <w:basedOn w:val="Normal"/>
    <w:next w:val="Normal"/>
    <w:link w:val="IntenseQuoteChar"/>
    <w:uiPriority w:val="30"/>
    <w:qFormat/>
    <w:rsid w:val="003640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03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403E"/>
    <w:rPr>
      <w:smallCaps/>
      <w:color w:val="auto"/>
      <w:u w:val="single"/>
    </w:rPr>
  </w:style>
  <w:style w:type="character" w:styleId="IntenseReference">
    <w:name w:val="Intense Reference"/>
    <w:basedOn w:val="DefaultParagraphFont"/>
    <w:uiPriority w:val="32"/>
    <w:qFormat/>
    <w:rsid w:val="0036403E"/>
    <w:rPr>
      <w:b/>
      <w:bCs/>
      <w:smallCaps/>
      <w:color w:val="auto"/>
      <w:spacing w:val="5"/>
      <w:u w:val="single"/>
    </w:rPr>
  </w:style>
  <w:style w:type="paragraph" w:customStyle="1" w:styleId="2ColumnHeading">
    <w:name w:val="2Column Heading"/>
    <w:basedOn w:val="BodyText"/>
    <w:qFormat/>
    <w:rsid w:val="0036403E"/>
    <w:pPr>
      <w:spacing w:after="60"/>
      <w:ind w:left="-2268"/>
    </w:pPr>
    <w:rPr>
      <w:b/>
    </w:rPr>
  </w:style>
  <w:style w:type="paragraph" w:customStyle="1" w:styleId="Heading1TOC">
    <w:name w:val="Heading1 TOC"/>
    <w:basedOn w:val="Normal"/>
    <w:qFormat/>
    <w:rsid w:val="0036403E"/>
    <w:pPr>
      <w:spacing w:before="240" w:after="120"/>
    </w:pPr>
    <w:rPr>
      <w:rFonts w:ascii="Times New Roman" w:hAnsi="Times New Roman"/>
      <w:b/>
      <w:sz w:val="32"/>
    </w:rPr>
  </w:style>
  <w:style w:type="paragraph" w:customStyle="1" w:styleId="Heading2TOC">
    <w:name w:val="Heading2 TOC"/>
    <w:basedOn w:val="Normal"/>
    <w:qFormat/>
    <w:rsid w:val="0036403E"/>
    <w:pPr>
      <w:spacing w:before="240" w:after="60"/>
    </w:pPr>
    <w:rPr>
      <w:rFonts w:ascii="Times New Roman" w:hAnsi="Times New Roman"/>
      <w:b/>
      <w:sz w:val="28"/>
    </w:rPr>
  </w:style>
  <w:style w:type="character" w:customStyle="1" w:styleId="Underline">
    <w:name w:val="Underline"/>
    <w:basedOn w:val="DefaultParagraphFont"/>
    <w:qFormat/>
    <w:rsid w:val="0036403E"/>
    <w:rPr>
      <w:u w:val="single"/>
    </w:rPr>
  </w:style>
  <w:style w:type="paragraph" w:styleId="BalloonText">
    <w:name w:val="Balloon Text"/>
    <w:basedOn w:val="Normal"/>
    <w:link w:val="BalloonTextChar"/>
    <w:rsid w:val="0036403E"/>
    <w:rPr>
      <w:rFonts w:ascii="Tahoma" w:hAnsi="Tahoma" w:cs="Tahoma"/>
      <w:sz w:val="16"/>
      <w:szCs w:val="16"/>
    </w:rPr>
  </w:style>
  <w:style w:type="character" w:customStyle="1" w:styleId="BalloonTextChar">
    <w:name w:val="Balloon Text Char"/>
    <w:basedOn w:val="DefaultParagraphFont"/>
    <w:link w:val="BalloonText"/>
    <w:rsid w:val="003640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40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403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1346</Words>
  <Characters>8356</Characters>
  <Application>Microsoft Office Word</Application>
  <DocSecurity>0</DocSecurity>
  <Lines>403</Lines>
  <Paragraphs>201</Paragraphs>
  <ScaleCrop>false</ScaleCrop>
  <Company>Author-it Software Corporation Ltd.</Company>
  <LinksUpToDate>false</LinksUpToDate>
  <CharactersWithSpaces>9612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SIFBCR020A Dig a grave manually</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2012-05-26T21:32:00Z</dcterms:created>
  <dcterms:modified xsi:type="dcterms:W3CDTF">2012-05-26T21:32:00Z</dcterms:modified>
</cp:coreProperties>
</file>