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A44" w:rsidP="00C41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SIFXMPR003 Prepare and conduct tours</w:t>
      </w:r>
      <w:r>
        <w:fldChar w:fldCharType="end"/>
      </w:r>
    </w:p>
    <w:p w:rsidR="00C41A44" w:rsidP="00C41A44">
      <w:pPr>
        <w:pStyle w:val="Version"/>
        <w:sectPr w:rsidSect="00BD5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B0E" w:rsidP="00BD5B0E">
      <w:pPr>
        <w:pStyle w:val="SuperHeading"/>
      </w:pPr>
      <w:r w:rsidRPr="00BD5B0E">
        <w:t>Assessment Requirements for SIFXMPR003 Prepare and conduct tours</w:t>
      </w:r>
    </w:p>
    <w:p w:rsidR="00000000" w:rsidRPr="00BD5B0E" w:rsidP="00BD5B0E">
      <w:pPr>
        <w:pStyle w:val="Heading1"/>
      </w:pPr>
      <w:bookmarkStart w:id="1" w:name="O_569624"/>
      <w:bookmarkEnd w:id="1"/>
      <w:r w:rsidRPr="00BD5B0E">
        <w:t>Modification History</w:t>
      </w:r>
    </w:p>
    <w:p w:rsidR="00000000" w:rsidRPr="00BD5B0E" w:rsidP="00C41A44">
      <w:pPr>
        <w:pStyle w:val="BodyText"/>
      </w:pPr>
      <w:r w:rsidRPr="00BD5B0E">
        <w:t>Not applicable.</w:t>
      </w:r>
    </w:p>
    <w:p w:rsidR="00000000" w:rsidRPr="00BD5B0E" w:rsidP="00BD5B0E">
      <w:pPr>
        <w:pStyle w:val="Heading1"/>
      </w:pPr>
      <w:bookmarkStart w:id="2" w:name="O_569625"/>
      <w:bookmarkEnd w:id="2"/>
      <w:r w:rsidRPr="00BD5B0E">
        <w:t>Performance Evidence</w:t>
      </w:r>
    </w:p>
    <w:p w:rsidR="00000000" w:rsidRPr="00BD5B0E" w:rsidP="00C41A44">
      <w:pPr>
        <w:pStyle w:val="BodyText"/>
      </w:pPr>
      <w:r w:rsidRPr="00BD5B0E">
        <w:t>Evidence of the ability to:</w:t>
      </w:r>
    </w:p>
    <w:p w:rsidR="00000000" w:rsidRPr="00BD5B0E" w:rsidP="00BD5B0E">
      <w:pPr>
        <w:pStyle w:val="ListBullet"/>
      </w:pPr>
      <w:r w:rsidRPr="00BD5B0E">
        <w:t xml:space="preserve">Conduct, research and prepare information for delivery to tour participants </w:t>
      </w:r>
    </w:p>
    <w:p w:rsidR="00000000" w:rsidRPr="00BD5B0E" w:rsidP="00BD5B0E">
      <w:pPr>
        <w:pStyle w:val="ListBullet"/>
      </w:pPr>
      <w:r w:rsidRPr="00BD5B0E">
        <w:t>conduct tours safely according to planned timing and client needs</w:t>
      </w:r>
    </w:p>
    <w:p w:rsidR="00000000" w:rsidRPr="00BD5B0E" w:rsidP="00BD5B0E">
      <w:pPr>
        <w:pStyle w:val="ListBullet"/>
      </w:pPr>
      <w:r w:rsidRPr="00BD5B0E">
        <w:t>deliver tour commentaries at a pace and level suited to identified needs and characteristics of tour group</w:t>
      </w:r>
    </w:p>
    <w:p w:rsidR="00000000" w:rsidRPr="00BD5B0E" w:rsidP="00BD5B0E">
      <w:pPr>
        <w:pStyle w:val="ListBullet"/>
      </w:pPr>
      <w:r w:rsidRPr="00BD5B0E">
        <w:t>identi</w:t>
      </w:r>
      <w:r w:rsidRPr="00BD5B0E">
        <w:t>fy and resolve conflict and difficulties.</w:t>
      </w:r>
    </w:p>
    <w:p w:rsidR="00000000" w:rsidRPr="00BD5B0E" w:rsidP="00BD5B0E">
      <w:pPr>
        <w:pStyle w:val="BodyText"/>
      </w:pPr>
    </w:p>
    <w:p w:rsidR="00000000" w:rsidRPr="00BD5B0E" w:rsidP="00C41A44">
      <w:pPr>
        <w:pStyle w:val="BodyText"/>
      </w:pPr>
      <w:r w:rsidRPr="00BD5B0E">
        <w:t>Evidence of performance of conducting tours to two or more different groups is required to demonstrate consistency of performance and ability to respond to different situations.</w:t>
      </w:r>
    </w:p>
    <w:p w:rsidR="00000000" w:rsidRPr="00BD5B0E" w:rsidP="00BD5B0E">
      <w:pPr>
        <w:pStyle w:val="Heading1"/>
      </w:pPr>
      <w:bookmarkStart w:id="3" w:name="O_569626"/>
      <w:bookmarkEnd w:id="3"/>
      <w:r w:rsidRPr="00BD5B0E">
        <w:t>Knowledge Evidence</w:t>
      </w:r>
    </w:p>
    <w:p w:rsidR="00000000" w:rsidRPr="00BD5B0E" w:rsidP="00C41A44">
      <w:pPr>
        <w:pStyle w:val="BodyText"/>
      </w:pPr>
      <w:r w:rsidRPr="00BD5B0E">
        <w:t>Demonstrated knowledge of:</w:t>
      </w:r>
    </w:p>
    <w:p w:rsidR="00000000" w:rsidRPr="00BD5B0E" w:rsidP="00BD5B0E">
      <w:pPr>
        <w:pStyle w:val="ListBullet"/>
      </w:pPr>
      <w:r w:rsidRPr="00BD5B0E">
        <w:t>sources used to develop funeral industry knowledge, including but not restricted to:</w:t>
      </w:r>
    </w:p>
    <w:p w:rsidR="00000000" w:rsidRPr="00BD5B0E" w:rsidP="00BD5B0E">
      <w:pPr>
        <w:pStyle w:val="ListBullet2"/>
      </w:pPr>
      <w:r w:rsidRPr="00BD5B0E">
        <w:t>books, magazines, newspapers and other references</w:t>
      </w:r>
    </w:p>
    <w:p w:rsidR="00000000" w:rsidRPr="00BD5B0E" w:rsidP="00BD5B0E">
      <w:pPr>
        <w:pStyle w:val="ListBullet2"/>
      </w:pPr>
      <w:r w:rsidRPr="00BD5B0E">
        <w:t>statistical information</w:t>
      </w:r>
    </w:p>
    <w:p w:rsidR="00000000" w:rsidRPr="00BD5B0E" w:rsidP="00BD5B0E">
      <w:pPr>
        <w:pStyle w:val="ListBullet2"/>
      </w:pPr>
      <w:r w:rsidRPr="00BD5B0E">
        <w:t>internet</w:t>
      </w:r>
    </w:p>
    <w:p w:rsidR="00000000" w:rsidRPr="00BD5B0E" w:rsidP="00BD5B0E">
      <w:pPr>
        <w:pStyle w:val="ListBullet2"/>
      </w:pPr>
      <w:r w:rsidRPr="00BD5B0E">
        <w:t>relevant industry associations</w:t>
      </w:r>
    </w:p>
    <w:p w:rsidR="00000000" w:rsidRPr="00BD5B0E" w:rsidP="00BD5B0E">
      <w:pPr>
        <w:pStyle w:val="ListBullet2"/>
      </w:pPr>
      <w:r w:rsidRPr="00BD5B0E">
        <w:t>past and present staff members</w:t>
      </w:r>
    </w:p>
    <w:p w:rsidR="00000000" w:rsidRPr="00BD5B0E" w:rsidP="00BD5B0E">
      <w:pPr>
        <w:pStyle w:val="ListBullet2"/>
      </w:pPr>
      <w:r w:rsidRPr="00BD5B0E">
        <w:t>local experts</w:t>
      </w:r>
    </w:p>
    <w:p w:rsidR="00000000" w:rsidRPr="00BD5B0E" w:rsidP="00BD5B0E">
      <w:pPr>
        <w:pStyle w:val="ListBullet2"/>
      </w:pPr>
      <w:r w:rsidRPr="00BD5B0E">
        <w:t>descendants of deceased persons, especially historic figures</w:t>
      </w:r>
    </w:p>
    <w:p w:rsidR="00000000" w:rsidRPr="00BD5B0E" w:rsidP="00BD5B0E">
      <w:pPr>
        <w:pStyle w:val="ListBullet2"/>
      </w:pPr>
      <w:r w:rsidRPr="00BD5B0E">
        <w:t>own knowledge, memory and experiences</w:t>
      </w:r>
    </w:p>
    <w:p w:rsidR="00000000" w:rsidRPr="00BD5B0E" w:rsidP="00BD5B0E">
      <w:pPr>
        <w:pStyle w:val="ListBullet2"/>
      </w:pPr>
      <w:r w:rsidRPr="00BD5B0E">
        <w:t>videos and television</w:t>
      </w:r>
    </w:p>
    <w:p w:rsidR="00000000" w:rsidRPr="00BD5B0E" w:rsidP="00BD5B0E">
      <w:pPr>
        <w:pStyle w:val="ListBullet"/>
      </w:pPr>
      <w:r w:rsidRPr="00BD5B0E">
        <w:t>historical operations of funeral homes, cemeteries and crematorium</w:t>
      </w:r>
    </w:p>
    <w:p w:rsidR="00000000" w:rsidRPr="00BD5B0E" w:rsidP="00BD5B0E">
      <w:pPr>
        <w:pStyle w:val="ListBullet"/>
      </w:pPr>
      <w:r w:rsidRPr="00BD5B0E">
        <w:t>local and Australian f</w:t>
      </w:r>
      <w:r w:rsidRPr="00BD5B0E">
        <w:t>uneral, burial and cremation practices, including:</w:t>
      </w:r>
    </w:p>
    <w:p w:rsidR="00000000" w:rsidRPr="00BD5B0E" w:rsidP="00BD5B0E">
      <w:pPr>
        <w:pStyle w:val="ListBullet2"/>
      </w:pPr>
      <w:r w:rsidRPr="00BD5B0E">
        <w:t>layout and features of funeral home, cemetery or crematorium</w:t>
      </w:r>
    </w:p>
    <w:p w:rsidR="00000000" w:rsidRPr="00BD5B0E" w:rsidP="00BD5B0E">
      <w:pPr>
        <w:pStyle w:val="ListBullet2"/>
      </w:pPr>
      <w:r w:rsidRPr="00BD5B0E">
        <w:t>impact of social, religious and cultural differences and traditions</w:t>
      </w:r>
    </w:p>
    <w:p w:rsidR="00000000" w:rsidRPr="00BD5B0E" w:rsidP="00BD5B0E">
      <w:pPr>
        <w:pStyle w:val="ListBullet"/>
      </w:pPr>
      <w:r w:rsidRPr="00BD5B0E">
        <w:t>conflict resolution principles for dealing with:</w:t>
      </w:r>
    </w:p>
    <w:p w:rsidR="00000000" w:rsidRPr="00BD5B0E" w:rsidP="00BD5B0E">
      <w:pPr>
        <w:pStyle w:val="ListBullet2"/>
      </w:pPr>
      <w:r w:rsidRPr="00BD5B0E">
        <w:t>personal conflict betwee</w:t>
      </w:r>
      <w:r w:rsidRPr="00BD5B0E">
        <w:t>n clients</w:t>
      </w:r>
    </w:p>
    <w:p w:rsidR="00000000" w:rsidRPr="00BD5B0E" w:rsidP="00BD5B0E">
      <w:pPr>
        <w:pStyle w:val="ListBullet2"/>
      </w:pPr>
      <w:r w:rsidRPr="00BD5B0E">
        <w:t>dominant or disruptive clients</w:t>
      </w:r>
    </w:p>
    <w:p w:rsidR="00000000" w:rsidRPr="00BD5B0E" w:rsidP="00BD5B0E">
      <w:pPr>
        <w:pStyle w:val="ListBullet2"/>
      </w:pPr>
      <w:r w:rsidRPr="00BD5B0E">
        <w:t>negative clients</w:t>
      </w:r>
    </w:p>
    <w:p w:rsidR="00000000" w:rsidRPr="00BD5B0E" w:rsidP="00BD5B0E">
      <w:pPr>
        <w:pStyle w:val="ListBullet2"/>
      </w:pPr>
      <w:r w:rsidRPr="00BD5B0E">
        <w:t>subgroups or cliques within group</w:t>
      </w:r>
    </w:p>
    <w:p w:rsidR="00000000" w:rsidRPr="00BD5B0E" w:rsidP="00BD5B0E">
      <w:pPr>
        <w:pStyle w:val="ListBullet2"/>
      </w:pPr>
      <w:r w:rsidRPr="00BD5B0E">
        <w:t>perception of favouritism by guide</w:t>
      </w:r>
    </w:p>
    <w:p w:rsidR="00000000" w:rsidRPr="00BD5B0E" w:rsidP="00BD5B0E">
      <w:pPr>
        <w:pStyle w:val="ListBullet2"/>
      </w:pPr>
      <w:r w:rsidRPr="00BD5B0E">
        <w:t>dissatisfaction with tour</w:t>
      </w:r>
    </w:p>
    <w:p w:rsidR="00000000" w:rsidRPr="00BD5B0E" w:rsidP="00BD5B0E">
      <w:pPr>
        <w:pStyle w:val="ListBullet2"/>
      </w:pPr>
      <w:r w:rsidRPr="00BD5B0E">
        <w:t>ill or distressed clients</w:t>
      </w:r>
    </w:p>
    <w:p w:rsidR="00000000" w:rsidRPr="00BD5B0E" w:rsidP="00BD5B0E">
      <w:pPr>
        <w:pStyle w:val="ListBullet"/>
      </w:pPr>
      <w:r w:rsidRPr="00BD5B0E">
        <w:t>basic principles and practices for conducting tours</w:t>
      </w:r>
    </w:p>
    <w:p w:rsidR="00000000" w:rsidRPr="00BD5B0E" w:rsidP="00BD5B0E">
      <w:pPr>
        <w:pStyle w:val="ListBullet"/>
      </w:pPr>
      <w:r w:rsidRPr="00BD5B0E">
        <w:t>public liability issues and responsibilities, including:</w:t>
      </w:r>
    </w:p>
    <w:p w:rsidR="00000000" w:rsidRPr="00BD5B0E" w:rsidP="00BD5B0E">
      <w:pPr>
        <w:pStyle w:val="ListBullet2"/>
      </w:pPr>
      <w:r w:rsidRPr="00BD5B0E">
        <w:t>location of open gravesites</w:t>
      </w:r>
    </w:p>
    <w:p w:rsidR="00000000" w:rsidRPr="00BD5B0E" w:rsidP="00BD5B0E">
      <w:pPr>
        <w:pStyle w:val="ListBullet2"/>
      </w:pPr>
      <w:r w:rsidRPr="00BD5B0E">
        <w:t>cemetery or crematorium equipment movement</w:t>
      </w:r>
    </w:p>
    <w:p w:rsidR="00000000" w:rsidRPr="00BD5B0E" w:rsidP="00BD5B0E">
      <w:pPr>
        <w:pStyle w:val="ListBullet2"/>
      </w:pPr>
      <w:r w:rsidRPr="00BD5B0E">
        <w:t>emergency evacuation procedures</w:t>
      </w:r>
    </w:p>
    <w:p w:rsidR="00000000" w:rsidRPr="00BD5B0E" w:rsidP="00BD5B0E">
      <w:pPr>
        <w:pStyle w:val="ListBullet2"/>
      </w:pPr>
      <w:r w:rsidRPr="00BD5B0E">
        <w:t>procedures in case of separation from main group</w:t>
      </w:r>
    </w:p>
    <w:p w:rsidR="00000000" w:rsidRPr="00BD5B0E" w:rsidP="00BD5B0E">
      <w:pPr>
        <w:pStyle w:val="ListBullet"/>
      </w:pPr>
      <w:r w:rsidRPr="00BD5B0E">
        <w:t>industry parameters in dealing with the berea</w:t>
      </w:r>
      <w:r w:rsidRPr="00BD5B0E">
        <w:t>ved</w:t>
      </w:r>
    </w:p>
    <w:p w:rsidR="00000000" w:rsidRPr="00BD5B0E" w:rsidP="00BD5B0E">
      <w:pPr>
        <w:pStyle w:val="ListBullet"/>
      </w:pPr>
      <w:r w:rsidRPr="00BD5B0E">
        <w:t xml:space="preserve">operating features and procedures for relevant presentation equipment </w:t>
      </w:r>
    </w:p>
    <w:p w:rsidR="00000000" w:rsidRPr="00BD5B0E" w:rsidP="00BD5B0E">
      <w:pPr>
        <w:pStyle w:val="ListBullet"/>
      </w:pPr>
      <w:r w:rsidRPr="00BD5B0E">
        <w:t>workplace policies and procedures in relation to conducting tours</w:t>
      </w:r>
    </w:p>
    <w:p w:rsidR="00000000" w:rsidRPr="00BD5B0E" w:rsidP="00BD5B0E">
      <w:pPr>
        <w:pStyle w:val="ListBullet"/>
      </w:pPr>
      <w:r w:rsidRPr="00BD5B0E">
        <w:t>legislation that impacts on tour operations.</w:t>
      </w:r>
    </w:p>
    <w:p w:rsidR="00000000" w:rsidRPr="00BD5B0E" w:rsidP="00BD5B0E">
      <w:pPr>
        <w:pStyle w:val="AllowPageBreak"/>
      </w:pPr>
    </w:p>
    <w:p w:rsidR="00000000" w:rsidRPr="00BD5B0E" w:rsidP="00BD5B0E">
      <w:pPr>
        <w:pStyle w:val="Heading1"/>
      </w:pPr>
      <w:bookmarkStart w:id="4" w:name="O_569627"/>
      <w:bookmarkEnd w:id="4"/>
      <w:r w:rsidRPr="00BD5B0E">
        <w:t>Assessment Conditions</w:t>
      </w:r>
    </w:p>
    <w:p w:rsidR="00000000" w:rsidRPr="00BD5B0E" w:rsidP="00C41A44">
      <w:pPr>
        <w:pStyle w:val="BodyText"/>
      </w:pPr>
      <w:r w:rsidRPr="00BD5B0E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BD5B0E" w:rsidP="00BD5B0E">
      <w:pPr>
        <w:pStyle w:val="ListBullet"/>
      </w:pPr>
      <w:r w:rsidRPr="00BD5B0E">
        <w:t>using suitable facilities, equipment and resources, including:</w:t>
      </w:r>
    </w:p>
    <w:p w:rsidR="00000000" w:rsidRPr="00BD5B0E" w:rsidP="00BD5B0E">
      <w:pPr>
        <w:pStyle w:val="ListBullet2"/>
      </w:pPr>
      <w:r w:rsidRPr="00BD5B0E">
        <w:t>a funeral home, cemetery or crematorium facility where tours are conducted</w:t>
      </w:r>
    </w:p>
    <w:p w:rsidR="00000000" w:rsidRPr="00BD5B0E" w:rsidP="00BD5B0E">
      <w:pPr>
        <w:pStyle w:val="ListBullet2"/>
      </w:pPr>
      <w:r w:rsidRPr="00BD5B0E">
        <w:t>tour and presentation equipment</w:t>
      </w:r>
    </w:p>
    <w:p w:rsidR="00000000" w:rsidRPr="00BD5B0E" w:rsidP="00BD5B0E">
      <w:pPr>
        <w:pStyle w:val="ListBullet2"/>
      </w:pPr>
      <w:r w:rsidRPr="00BD5B0E">
        <w:t>equipment to meet specialised requirements, including wheelchairs or use of interpreters where required</w:t>
      </w:r>
    </w:p>
    <w:p w:rsidR="00000000" w:rsidRPr="00BD5B0E" w:rsidP="00BD5B0E">
      <w:pPr>
        <w:pStyle w:val="ListBullet2"/>
      </w:pPr>
      <w:r w:rsidRPr="00BD5B0E">
        <w:t>information materials, such as brochure, pa</w:t>
      </w:r>
      <w:r w:rsidRPr="00BD5B0E">
        <w:t xml:space="preserve">mphlets and business cards </w:t>
      </w:r>
    </w:p>
    <w:p w:rsidR="00000000" w:rsidRPr="00BD5B0E" w:rsidP="00BD5B0E">
      <w:pPr>
        <w:pStyle w:val="ListBullet"/>
      </w:pPr>
      <w:r w:rsidRPr="00BD5B0E">
        <w:t xml:space="preserve">under industry conditions where there is: </w:t>
      </w:r>
    </w:p>
    <w:p w:rsidR="00000000" w:rsidRPr="00BD5B0E" w:rsidP="00BD5B0E">
      <w:pPr>
        <w:pStyle w:val="ListBullet2"/>
      </w:pPr>
      <w:r w:rsidRPr="00BD5B0E">
        <w:t xml:space="preserve">integration of tasks with possible interruptions to work typical of the job role </w:t>
      </w:r>
    </w:p>
    <w:p w:rsidR="00000000" w:rsidRPr="00BD5B0E" w:rsidP="00BD5B0E">
      <w:pPr>
        <w:pStyle w:val="ListBullet2"/>
      </w:pPr>
      <w:r w:rsidRPr="00BD5B0E">
        <w:t xml:space="preserve">speed and timing requirements that reflect commercial operating conditions </w:t>
      </w:r>
    </w:p>
    <w:p w:rsidR="00000000" w:rsidRPr="00BD5B0E" w:rsidP="00BD5B0E">
      <w:pPr>
        <w:pStyle w:val="ListBullet2"/>
      </w:pPr>
      <w:r w:rsidRPr="00BD5B0E">
        <w:t>interaction with tour gro</w:t>
      </w:r>
      <w:r w:rsidRPr="00BD5B0E">
        <w:t>ups</w:t>
      </w:r>
    </w:p>
    <w:p w:rsidR="00000000" w:rsidRPr="00BD5B0E" w:rsidP="00BD5B0E">
      <w:pPr>
        <w:pStyle w:val="BodyText"/>
      </w:pPr>
    </w:p>
    <w:p w:rsidR="00000000" w:rsidRPr="00BD5B0E" w:rsidP="00C41A44">
      <w:pPr>
        <w:pStyle w:val="BodyText"/>
      </w:pPr>
      <w:r w:rsidRPr="00BD5B0E">
        <w:t>Assessors must satisfy the NVR/AQTF mandatory competency requirements for assessors.</w:t>
      </w:r>
    </w:p>
    <w:p w:rsidR="00000000" w:rsidRPr="00BD5B0E" w:rsidP="00BD5B0E">
      <w:pPr>
        <w:pStyle w:val="Heading1"/>
      </w:pPr>
      <w:bookmarkStart w:id="5" w:name="O_569629"/>
      <w:bookmarkEnd w:id="5"/>
      <w:r w:rsidRPr="00BD5B0E">
        <w:t>Links</w:t>
      </w:r>
    </w:p>
    <w:p w:rsidR="00000000" w:rsidRPr="00BD5B0E" w:rsidP="00C41A44">
      <w:pPr>
        <w:pStyle w:val="BodyText"/>
      </w:pPr>
      <w:r w:rsidRPr="00BD5B0E">
        <w:t>Companion Volume implementation guides are found in</w:t>
      </w:r>
      <w:r w:rsidRPr="00BD5B0E">
        <w:t xml:space="preserve">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67DA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D5B0E" w:rsidP="00BD5B0E"/>
    <w:sectPr w:rsidSect="00BD5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0E" w:rsidRPr="00C41A44" w:rsidP="00C41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44" w:rsidP="00BD5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A44" w:rsidP="00BD5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1A44" w:rsidP="00BD5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B0E" w:rsidRPr="00C41A44" w:rsidP="00C41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44" w:rsidRPr="002D2AF8" w:rsidP="00BD5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SIFXMPR003 Prepare and conduct tours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41A44" w:rsidP="00BD5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61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C1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24D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B0E"/>
  </w:style>
  <w:style w:type="character" w:customStyle="1" w:styleId="Heading1Char">
    <w:name w:val="Heading 1 Char"/>
    <w:basedOn w:val="DefaultParagraphFont"/>
    <w:link w:val="Heading1"/>
    <w:rsid w:val="00BD5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B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5B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5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B0E"/>
    <w:rPr>
      <w:b/>
      <w:spacing w:val="0"/>
    </w:rPr>
  </w:style>
  <w:style w:type="paragraph" w:customStyle="1" w:styleId="SuperTitle">
    <w:name w:val="SuperTitle"/>
    <w:basedOn w:val="Title"/>
    <w:rsid w:val="00BD5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B0E"/>
    <w:rPr>
      <w:i/>
    </w:rPr>
  </w:style>
  <w:style w:type="paragraph" w:styleId="Caption">
    <w:name w:val="caption"/>
    <w:basedOn w:val="BodyText"/>
    <w:next w:val="Normal"/>
    <w:qFormat/>
    <w:rsid w:val="00BD5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B0E"/>
  </w:style>
  <w:style w:type="paragraph" w:styleId="TableofFigures">
    <w:name w:val="table of figures"/>
    <w:basedOn w:val="Normal"/>
    <w:next w:val="Normal"/>
    <w:semiHidden/>
    <w:rsid w:val="00BD5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B0E"/>
    <w:rPr>
      <w:rFonts w:ascii="Wingdings" w:hAnsi="Wingdings"/>
    </w:rPr>
  </w:style>
  <w:style w:type="paragraph" w:customStyle="1" w:styleId="TableHeading">
    <w:name w:val="Table Heading"/>
    <w:basedOn w:val="HeadingBase"/>
    <w:rsid w:val="00BD5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B0E"/>
    <w:rPr>
      <w:color w:val="0033CC"/>
      <w:u w:val="none"/>
    </w:rPr>
  </w:style>
  <w:style w:type="paragraph" w:customStyle="1" w:styleId="BodyTextRight">
    <w:name w:val="Body Text Right"/>
    <w:basedOn w:val="BodyText"/>
    <w:rsid w:val="00BD5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B0E"/>
    <w:rPr>
      <w:sz w:val="32"/>
    </w:rPr>
  </w:style>
  <w:style w:type="paragraph" w:customStyle="1" w:styleId="HeadingProcedure">
    <w:name w:val="Heading Procedure"/>
    <w:basedOn w:val="HeadingBase"/>
    <w:next w:val="Normal"/>
    <w:rsid w:val="00BD5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B0E"/>
    <w:pPr>
      <w:spacing w:before="60" w:after="60"/>
    </w:pPr>
  </w:style>
  <w:style w:type="paragraph" w:styleId="ListContinue">
    <w:name w:val="List Continue"/>
    <w:basedOn w:val="List"/>
    <w:rsid w:val="00BD5B0E"/>
    <w:pPr>
      <w:ind w:firstLine="0"/>
    </w:pPr>
  </w:style>
  <w:style w:type="paragraph" w:customStyle="1" w:styleId="ListNote">
    <w:name w:val="List Note"/>
    <w:basedOn w:val="List"/>
    <w:rsid w:val="00BD5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B0E"/>
    <w:rPr>
      <w:rFonts w:ascii="Courier New" w:hAnsi="Courier New"/>
    </w:rPr>
  </w:style>
  <w:style w:type="paragraph" w:customStyle="1" w:styleId="NoteBullet">
    <w:name w:val="Note Bullet"/>
    <w:basedOn w:val="Note"/>
    <w:rsid w:val="00BD5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B0E"/>
    <w:rPr>
      <w:b/>
      <w:smallCaps/>
    </w:rPr>
  </w:style>
  <w:style w:type="paragraph" w:customStyle="1" w:styleId="TableListNumber">
    <w:name w:val="Table List Number"/>
    <w:basedOn w:val="ListNumber"/>
    <w:rsid w:val="00BD5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B0E"/>
    <w:pPr>
      <w:numPr>
        <w:numId w:val="9"/>
      </w:numPr>
    </w:pPr>
  </w:style>
  <w:style w:type="paragraph" w:customStyle="1" w:styleId="ListAlpha2">
    <w:name w:val="List Alpha 2"/>
    <w:basedOn w:val="List2"/>
    <w:rsid w:val="00BD5B0E"/>
    <w:pPr>
      <w:numPr>
        <w:numId w:val="8"/>
      </w:numPr>
    </w:pPr>
  </w:style>
  <w:style w:type="paragraph" w:styleId="List2">
    <w:name w:val="List 2"/>
    <w:basedOn w:val="BodyText"/>
    <w:rsid w:val="00BD5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B0E"/>
    <w:pPr>
      <w:numPr>
        <w:numId w:val="4"/>
      </w:numPr>
    </w:pPr>
  </w:style>
  <w:style w:type="paragraph" w:styleId="ListContinue2">
    <w:name w:val="List Continue 2"/>
    <w:basedOn w:val="List2"/>
    <w:rsid w:val="00BD5B0E"/>
    <w:pPr>
      <w:ind w:firstLine="0"/>
    </w:pPr>
  </w:style>
  <w:style w:type="paragraph" w:styleId="ListContinue3">
    <w:name w:val="List Continue 3"/>
    <w:basedOn w:val="List3"/>
    <w:rsid w:val="00BD5B0E"/>
    <w:pPr>
      <w:ind w:left="1021" w:firstLine="0"/>
    </w:pPr>
  </w:style>
  <w:style w:type="paragraph" w:styleId="ListContinue4">
    <w:name w:val="List Continue 4"/>
    <w:basedOn w:val="List4"/>
    <w:rsid w:val="00BD5B0E"/>
    <w:pPr>
      <w:ind w:firstLine="0"/>
    </w:pPr>
  </w:style>
  <w:style w:type="paragraph" w:styleId="ListContinue5">
    <w:name w:val="List Continue 5"/>
    <w:basedOn w:val="List5"/>
    <w:rsid w:val="00BD5B0E"/>
    <w:pPr>
      <w:ind w:firstLine="0"/>
    </w:pPr>
  </w:style>
  <w:style w:type="paragraph" w:styleId="ListNumber3">
    <w:name w:val="List Number 3"/>
    <w:basedOn w:val="List3"/>
    <w:rsid w:val="00BD5B0E"/>
    <w:pPr>
      <w:numPr>
        <w:numId w:val="5"/>
      </w:numPr>
    </w:pPr>
  </w:style>
  <w:style w:type="paragraph" w:styleId="ListNumber4">
    <w:name w:val="List Number 4"/>
    <w:basedOn w:val="List4"/>
    <w:rsid w:val="00BD5B0E"/>
    <w:pPr>
      <w:numPr>
        <w:numId w:val="6"/>
      </w:numPr>
    </w:pPr>
  </w:style>
  <w:style w:type="paragraph" w:styleId="ListNumber5">
    <w:name w:val="List Number 5"/>
    <w:basedOn w:val="List5"/>
    <w:rsid w:val="00BD5B0E"/>
    <w:pPr>
      <w:numPr>
        <w:numId w:val="7"/>
      </w:numPr>
    </w:pPr>
  </w:style>
  <w:style w:type="paragraph" w:styleId="BlockText">
    <w:name w:val="Block Text"/>
    <w:basedOn w:val="Normal"/>
    <w:rsid w:val="00BD5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B0E"/>
    <w:rPr>
      <w:sz w:val="16"/>
      <w:vertAlign w:val="superscript"/>
    </w:rPr>
  </w:style>
  <w:style w:type="character" w:customStyle="1" w:styleId="Symbols">
    <w:name w:val="Symbols"/>
    <w:basedOn w:val="DefaultParagraphFont"/>
    <w:rsid w:val="00BD5B0E"/>
    <w:rPr>
      <w:rFonts w:ascii="Symbol" w:hAnsi="Symbol"/>
    </w:rPr>
  </w:style>
  <w:style w:type="character" w:customStyle="1" w:styleId="MenuOptions">
    <w:name w:val="Menu Options"/>
    <w:basedOn w:val="DefaultParagraphFont"/>
    <w:rsid w:val="00BD5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B0E"/>
    <w:rPr>
      <w:b/>
    </w:rPr>
  </w:style>
  <w:style w:type="character" w:customStyle="1" w:styleId="Underlined">
    <w:name w:val="Underlined"/>
    <w:basedOn w:val="DefaultParagraphFont"/>
    <w:rsid w:val="00BD5B0E"/>
    <w:rPr>
      <w:u w:val="single"/>
    </w:rPr>
  </w:style>
  <w:style w:type="paragraph" w:customStyle="1" w:styleId="TableBodyTextRight">
    <w:name w:val="Table Body Text Right"/>
    <w:basedOn w:val="TableBodyText"/>
    <w:rsid w:val="00BD5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B0E"/>
    <w:rPr>
      <w:sz w:val="18"/>
    </w:rPr>
  </w:style>
  <w:style w:type="paragraph" w:customStyle="1" w:styleId="BodySmallRight">
    <w:name w:val="Body Small Right"/>
    <w:basedOn w:val="BodyTextRight"/>
    <w:rsid w:val="00BD5B0E"/>
    <w:rPr>
      <w:sz w:val="18"/>
      <w:szCs w:val="18"/>
    </w:rPr>
  </w:style>
  <w:style w:type="paragraph" w:customStyle="1" w:styleId="MarginEdition">
    <w:name w:val="Margin Edition"/>
    <w:basedOn w:val="MarginNote"/>
    <w:rsid w:val="00BD5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B0E"/>
    <w:rPr>
      <w:sz w:val="2"/>
      <w:szCs w:val="2"/>
    </w:rPr>
  </w:style>
  <w:style w:type="character" w:customStyle="1" w:styleId="Small">
    <w:name w:val="Small"/>
    <w:basedOn w:val="DefaultParagraphFont"/>
    <w:rsid w:val="00BD5B0E"/>
    <w:rPr>
      <w:sz w:val="16"/>
    </w:rPr>
  </w:style>
  <w:style w:type="paragraph" w:customStyle="1" w:styleId="WideTable">
    <w:name w:val="Wide Table"/>
    <w:basedOn w:val="Normal"/>
    <w:rsid w:val="00BD5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B0E"/>
  </w:style>
  <w:style w:type="paragraph" w:styleId="Quote">
    <w:name w:val="Quote"/>
    <w:basedOn w:val="Heading1"/>
    <w:link w:val="QuoteChar"/>
    <w:qFormat/>
    <w:rsid w:val="00BD5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B0E"/>
    <w:pPr>
      <w:pageBreakBefore/>
    </w:pPr>
  </w:style>
  <w:style w:type="paragraph" w:customStyle="1" w:styleId="Border">
    <w:name w:val="Border"/>
    <w:basedOn w:val="Normal"/>
    <w:qFormat/>
    <w:rsid w:val="00BD5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B0E"/>
    <w:rPr>
      <w:u w:val="single"/>
    </w:rPr>
  </w:style>
  <w:style w:type="character" w:customStyle="1" w:styleId="BoldandItalics">
    <w:name w:val="Bold and Italics"/>
    <w:qFormat/>
    <w:rsid w:val="00BD5B0E"/>
    <w:rPr>
      <w:b/>
      <w:i/>
      <w:u w:val="none"/>
    </w:rPr>
  </w:style>
  <w:style w:type="paragraph" w:styleId="BalloonText">
    <w:name w:val="Balloon Text"/>
    <w:basedOn w:val="Normal"/>
    <w:link w:val="BalloonTextChar"/>
    <w:rsid w:val="00BD5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B0E"/>
    <w:pPr>
      <w:spacing w:before="0" w:after="0"/>
    </w:pPr>
  </w:style>
  <w:style w:type="paragraph" w:customStyle="1" w:styleId="BodyTextBold">
    <w:name w:val="Body Text Bold"/>
    <w:basedOn w:val="BodyText"/>
    <w:qFormat/>
    <w:rsid w:val="00BD5B0E"/>
    <w:rPr>
      <w:b/>
    </w:rPr>
  </w:style>
  <w:style w:type="character" w:styleId="Hyperlink">
    <w:name w:val="Hyperlink"/>
    <w:basedOn w:val="DefaultParagraphFont"/>
    <w:uiPriority w:val="99"/>
    <w:unhideWhenUsed/>
    <w:rsid w:val="00C41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2902</Characters>
  <Application>Microsoft Office Word</Application>
  <DocSecurity>0</DocSecurity>
  <Lines>78</Lines>
  <Paragraphs>70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SIFXMPR003 Prepare and conduct tours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