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556" w:rsidP="00C70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SIFXMGT004 Support people dealing with grief and trauma</w:t>
      </w:r>
      <w:r>
        <w:fldChar w:fldCharType="end"/>
      </w:r>
    </w:p>
    <w:p w:rsidR="00C70556" w:rsidP="00C70556">
      <w:pPr>
        <w:pStyle w:val="Version"/>
        <w:sectPr w:rsidSect="003D3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8B7" w:rsidP="003D38B7">
      <w:pPr>
        <w:pStyle w:val="SuperHeading"/>
      </w:pPr>
      <w:r w:rsidRPr="003D38B7">
        <w:t>SIFXMGT004 Support people dealing with grief and trauma</w:t>
      </w:r>
    </w:p>
    <w:p w:rsidR="00000000" w:rsidRPr="003D38B7" w:rsidP="003D38B7">
      <w:pPr>
        <w:pStyle w:val="Heading1"/>
      </w:pPr>
      <w:bookmarkStart w:id="1" w:name="O_569557"/>
      <w:bookmarkEnd w:id="1"/>
      <w:r w:rsidRPr="003D38B7">
        <w:t>Modification History</w:t>
      </w:r>
    </w:p>
    <w:p w:rsidR="00000000" w:rsidRPr="003D38B7" w:rsidP="00C70556">
      <w:pPr>
        <w:pStyle w:val="BodyText"/>
      </w:pPr>
      <w:r w:rsidRPr="003D38B7">
        <w:t>Not applicable.</w:t>
      </w:r>
    </w:p>
    <w:p w:rsidR="00000000" w:rsidRPr="003D38B7" w:rsidP="003D38B7">
      <w:pPr>
        <w:pStyle w:val="Heading1"/>
      </w:pPr>
      <w:bookmarkStart w:id="2" w:name="O_569558"/>
      <w:bookmarkEnd w:id="2"/>
      <w:r w:rsidRPr="003D38B7">
        <w:t>Application</w:t>
      </w:r>
    </w:p>
    <w:p w:rsidR="00000000" w:rsidRPr="003D38B7" w:rsidP="00C70556">
      <w:pPr>
        <w:pStyle w:val="BodyText"/>
      </w:pPr>
      <w:r w:rsidRPr="003D38B7">
        <w:t>This unit describes the performance outcomes, skills and knowledge required to develop strategies for providing support to those experiencing loss, grief and trauma. It appli</w:t>
      </w:r>
      <w:r w:rsidRPr="003D38B7">
        <w:t>es to managers of funeral services organisations responsible for providing a healing response to their clients experiencing loss and grief and addressing workplace stress in dealing with grief situations according to work health and safety, relevant legisl</w:t>
      </w:r>
      <w:r w:rsidRPr="003D38B7">
        <w:t>ation and workplace policies and procedures.</w:t>
      </w:r>
    </w:p>
    <w:p w:rsidR="00000000" w:rsidRPr="003D38B7" w:rsidP="00C70556">
      <w:pPr>
        <w:pStyle w:val="BodyText"/>
      </w:pPr>
      <w:r w:rsidRPr="003D38B7">
        <w:t>No licensing, legislative or certification requirements apply to this unit at the time of publication.</w:t>
      </w:r>
    </w:p>
    <w:p w:rsidR="00000000" w:rsidRPr="003D38B7" w:rsidP="003D38B7">
      <w:pPr>
        <w:pStyle w:val="Heading1"/>
      </w:pPr>
      <w:bookmarkStart w:id="3" w:name="O_569560"/>
      <w:bookmarkEnd w:id="3"/>
      <w:r w:rsidRPr="003D38B7">
        <w:t>Competency Field</w:t>
      </w:r>
    </w:p>
    <w:p w:rsidR="00000000" w:rsidRPr="003D38B7" w:rsidP="00C70556">
      <w:pPr>
        <w:pStyle w:val="BodyText"/>
      </w:pPr>
      <w:r w:rsidRPr="003D38B7">
        <w:t>Management and Leadership</w:t>
      </w:r>
    </w:p>
    <w:p w:rsidR="00000000" w:rsidRPr="003D38B7" w:rsidP="003D38B7">
      <w:pPr>
        <w:pStyle w:val="Heading1"/>
      </w:pPr>
      <w:bookmarkStart w:id="4" w:name="O_569561"/>
      <w:bookmarkEnd w:id="4"/>
      <w:r w:rsidRPr="003D38B7">
        <w:t>Unit Sector</w:t>
      </w:r>
    </w:p>
    <w:p w:rsidR="00000000" w:rsidRPr="003D38B7" w:rsidP="00C70556">
      <w:pPr>
        <w:pStyle w:val="BodyText"/>
      </w:pPr>
      <w:r w:rsidRPr="003D38B7">
        <w:t>Cross-Sector</w:t>
      </w:r>
    </w:p>
    <w:p w:rsidR="00000000" w:rsidRPr="003D38B7" w:rsidP="003D38B7">
      <w:pPr>
        <w:pStyle w:val="Heading1"/>
      </w:pPr>
      <w:bookmarkStart w:id="5" w:name="O_569562"/>
      <w:bookmarkEnd w:id="5"/>
      <w:r w:rsidRPr="003D38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70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8B7" w:rsidP="003D38B7">
            <w:pPr>
              <w:pStyle w:val="BodyText"/>
            </w:pPr>
            <w:r w:rsidRPr="003D38B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8B7">
            <w:pPr>
              <w:pStyle w:val="BodyText"/>
              <w:rPr>
                <w:lang w:val="en-NZ"/>
              </w:rPr>
            </w:pPr>
            <w:r w:rsidRPr="003D38B7">
              <w:rPr>
                <w:rStyle w:val="SpecialBold"/>
              </w:rPr>
              <w:t>PERFORMANCE CRITERIA</w:t>
            </w:r>
          </w:p>
        </w:tc>
      </w:tr>
      <w:tr w:rsidTr="00C705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8B7">
            <w:pPr>
              <w:pStyle w:val="BodyText"/>
              <w:rPr>
                <w:lang w:val="en-NZ"/>
              </w:rPr>
            </w:pPr>
            <w:r w:rsidRPr="003D38B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8B7">
            <w:pPr>
              <w:pStyle w:val="BodyText"/>
              <w:rPr>
                <w:lang w:val="en-NZ"/>
              </w:rPr>
            </w:pPr>
            <w:r w:rsidRPr="003D38B7">
              <w:t>Performance criteria describe the performance needed to demonstrate achievement of the element.</w:t>
            </w:r>
          </w:p>
        </w:tc>
      </w:tr>
      <w:tr w:rsidTr="00C705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8B7">
            <w:pPr>
              <w:pStyle w:val="List"/>
              <w:rPr>
                <w:lang w:val="en-NZ"/>
              </w:rPr>
            </w:pPr>
            <w:r w:rsidRPr="003D38B7">
              <w:t>1.</w:t>
            </w:r>
            <w:r w:rsidRPr="003D38B7">
              <w:tab/>
            </w:r>
            <w:r w:rsidRPr="003D38B7">
              <w:t>Implement strategies to provide a healing response to grief and trauma.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8B7" w:rsidP="003D38B7">
            <w:pPr>
              <w:pStyle w:val="List"/>
            </w:pPr>
            <w:r w:rsidRPr="003D38B7">
              <w:t>1.1</w:t>
            </w:r>
            <w:r w:rsidRPr="003D38B7">
              <w:tab/>
              <w:t>Identify and respect specific approaches and cultural considerations in relation to loss, grief and trauma.</w:t>
            </w:r>
          </w:p>
          <w:p w:rsidR="00000000" w:rsidRPr="003D38B7" w:rsidP="003D38B7">
            <w:pPr>
              <w:pStyle w:val="List"/>
            </w:pPr>
            <w:r w:rsidRPr="003D38B7">
              <w:t>1.2</w:t>
            </w:r>
            <w:r w:rsidRPr="003D38B7">
              <w:tab/>
              <w:t xml:space="preserve">Determine appropriate healing responses for individuals, family and </w:t>
            </w:r>
            <w:r w:rsidRPr="003D38B7">
              <w:t>communities in relation to experiences of loss, grief and trauma.</w:t>
            </w:r>
          </w:p>
          <w:p w:rsidR="00000000" w:rsidRPr="003D38B7" w:rsidP="003D38B7">
            <w:pPr>
              <w:pStyle w:val="List"/>
            </w:pPr>
            <w:r w:rsidRPr="003D38B7">
              <w:t>1.3</w:t>
            </w:r>
            <w:r w:rsidRPr="003D38B7">
              <w:tab/>
              <w:t>Identify culturally appropriate strategies for responding to loss, grief and trauma at the individual, family and community level.</w:t>
            </w:r>
          </w:p>
          <w:p w:rsidR="00000000" w:rsidRPr="003D38B7" w:rsidP="003D38B7">
            <w:pPr>
              <w:pStyle w:val="List"/>
            </w:pPr>
            <w:r w:rsidRPr="003D38B7">
              <w:t>1.4</w:t>
            </w:r>
            <w:r w:rsidRPr="003D38B7">
              <w:tab/>
              <w:t xml:space="preserve">Provide appropriate support and available </w:t>
            </w:r>
            <w:r w:rsidRPr="003D38B7">
              <w:t>resources</w:t>
            </w:r>
            <w:r w:rsidRPr="003D38B7">
              <w:t xml:space="preserve"> to assist individuals, families and communities to deal with their loss, grief and trauma.</w:t>
            </w:r>
          </w:p>
          <w:p w:rsidR="00000000" w:rsidRPr="003D38B7" w:rsidP="003D38B7">
            <w:pPr>
              <w:pStyle w:val="List"/>
            </w:pPr>
            <w:r w:rsidRPr="003D38B7">
              <w:t>1.5</w:t>
            </w:r>
            <w:r w:rsidRPr="003D38B7">
              <w:tab/>
              <w:t>Maintain duty of care, confidentiality and cultural protocols.</w:t>
            </w:r>
          </w:p>
          <w:p w:rsidR="00000000" w:rsidP="003D38B7">
            <w:pPr>
              <w:pStyle w:val="List"/>
              <w:rPr>
                <w:lang w:val="en-NZ"/>
              </w:rPr>
            </w:pPr>
          </w:p>
        </w:tc>
      </w:tr>
      <w:tr w:rsidTr="00C70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8B7">
            <w:pPr>
              <w:pStyle w:val="List"/>
              <w:rPr>
                <w:lang w:val="en-NZ"/>
              </w:rPr>
            </w:pPr>
            <w:r w:rsidRPr="003D38B7">
              <w:t>2.</w:t>
            </w:r>
            <w:r w:rsidRPr="003D38B7">
              <w:tab/>
              <w:t xml:space="preserve">Provide welfare support for staff.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8B7" w:rsidP="003D38B7">
            <w:pPr>
              <w:pStyle w:val="List"/>
            </w:pPr>
            <w:r w:rsidRPr="003D38B7">
              <w:t>2.1</w:t>
            </w:r>
            <w:r w:rsidRPr="003D38B7">
              <w:tab/>
              <w:t>Identify complex demands of the workplace within the</w:t>
            </w:r>
            <w:r w:rsidRPr="003D38B7">
              <w:t xml:space="preserve"> context of the funeral services industry.</w:t>
            </w:r>
          </w:p>
          <w:p w:rsidR="00000000" w:rsidRPr="003D38B7" w:rsidP="003D38B7">
            <w:pPr>
              <w:pStyle w:val="List"/>
            </w:pPr>
            <w:r w:rsidRPr="003D38B7">
              <w:t>2.2</w:t>
            </w:r>
            <w:r w:rsidRPr="003D38B7">
              <w:tab/>
              <w:t>Recognise symptoms of stress in staff.</w:t>
            </w:r>
          </w:p>
          <w:p w:rsidR="00000000" w:rsidRPr="003D38B7" w:rsidP="003D38B7">
            <w:pPr>
              <w:pStyle w:val="List"/>
            </w:pPr>
            <w:r w:rsidRPr="003D38B7">
              <w:t>2.3</w:t>
            </w:r>
            <w:r w:rsidRPr="003D38B7">
              <w:tab/>
              <w:t>Implement appropriate support, safety and welfare measures for staff.</w:t>
            </w:r>
          </w:p>
          <w:p w:rsidR="00000000" w:rsidP="003D38B7">
            <w:pPr>
              <w:pStyle w:val="List"/>
              <w:rPr>
                <w:lang w:val="en-NZ"/>
              </w:rPr>
            </w:pPr>
          </w:p>
        </w:tc>
      </w:tr>
      <w:tr w:rsidTr="00C70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8B7">
            <w:pPr>
              <w:pStyle w:val="List"/>
              <w:rPr>
                <w:lang w:val="en-NZ"/>
              </w:rPr>
            </w:pPr>
            <w:r w:rsidRPr="003D38B7">
              <w:t>3.</w:t>
            </w:r>
            <w:r w:rsidRPr="003D38B7">
              <w:tab/>
              <w:t>Manage own stress.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8B7" w:rsidP="003D38B7">
            <w:pPr>
              <w:pStyle w:val="List"/>
            </w:pPr>
            <w:r w:rsidRPr="003D38B7">
              <w:t>3.1</w:t>
            </w:r>
            <w:r w:rsidRPr="003D38B7">
              <w:tab/>
            </w:r>
            <w:r w:rsidRPr="003D38B7">
              <w:t>Identify personal stress triggers and develop strategies to deal with them.</w:t>
            </w:r>
          </w:p>
          <w:p w:rsidR="00000000" w:rsidRPr="003D38B7" w:rsidP="003D38B7">
            <w:pPr>
              <w:pStyle w:val="List"/>
            </w:pPr>
            <w:r w:rsidRPr="003D38B7">
              <w:t>3.2</w:t>
            </w:r>
            <w:r w:rsidRPr="003D38B7">
              <w:tab/>
              <w:t>Recognise and respond appropriately to physical, behavioural, interpersonal and attitudinal symptoms of personal grief responses.</w:t>
            </w:r>
          </w:p>
          <w:p w:rsidR="00000000" w:rsidRPr="003D38B7" w:rsidP="003D38B7">
            <w:pPr>
              <w:pStyle w:val="List"/>
            </w:pPr>
            <w:r w:rsidRPr="003D38B7">
              <w:t>3.3</w:t>
            </w:r>
            <w:r w:rsidRPr="003D38B7">
              <w:tab/>
              <w:t>Identify, access and incorporate into dail</w:t>
            </w:r>
            <w:r w:rsidRPr="003D38B7">
              <w:t>y routine relevant resources or activities to relieve stress.</w:t>
            </w:r>
          </w:p>
          <w:p w:rsidR="00000000" w:rsidRPr="003D38B7" w:rsidP="003D38B7">
            <w:pPr>
              <w:pStyle w:val="List"/>
            </w:pPr>
          </w:p>
        </w:tc>
      </w:tr>
    </w:tbl>
    <w:p w:rsidR="00000000" w:rsidRPr="003D38B7" w:rsidP="003D38B7">
      <w:pPr>
        <w:pStyle w:val="BodyText"/>
      </w:pPr>
    </w:p>
    <w:p w:rsidR="00000000" w:rsidRPr="003D38B7" w:rsidP="003D38B7">
      <w:pPr>
        <w:pStyle w:val="AllowPageBreak"/>
      </w:pPr>
    </w:p>
    <w:p w:rsidR="00000000" w:rsidRPr="003D38B7" w:rsidP="003D38B7">
      <w:pPr>
        <w:pStyle w:val="Heading1"/>
      </w:pPr>
      <w:bookmarkStart w:id="6" w:name="O_569563"/>
      <w:bookmarkEnd w:id="6"/>
      <w:r w:rsidRPr="003D38B7">
        <w:t>Foundation Skills</w:t>
      </w:r>
    </w:p>
    <w:p w:rsidR="00000000" w:rsidRPr="003D38B7" w:rsidP="00C70556">
      <w:pPr>
        <w:pStyle w:val="BodyText"/>
      </w:pPr>
      <w:r w:rsidRPr="003D38B7">
        <w:t>This section describes those language, literacy, numeracy and employment skills that are essential to performance.</w:t>
      </w:r>
    </w:p>
    <w:p w:rsidR="00000000" w:rsidRPr="003D38B7" w:rsidP="00C70556">
      <w:pPr>
        <w:pStyle w:val="BodyText"/>
      </w:pPr>
      <w:r w:rsidRPr="003D38B7">
        <w:t>Foundation skills essential to performan</w:t>
      </w:r>
      <w:r w:rsidRPr="003D38B7">
        <w:t>ce are explicit in the performance criteria of this unit of competency.</w:t>
      </w:r>
    </w:p>
    <w:p w:rsidR="00000000" w:rsidRPr="003D38B7" w:rsidP="003D38B7">
      <w:pPr>
        <w:pStyle w:val="Heading1"/>
      </w:pPr>
      <w:bookmarkStart w:id="7" w:name="O_569565"/>
      <w:bookmarkEnd w:id="7"/>
      <w:r w:rsidRPr="003D38B7">
        <w:t>Unit Mapping Information</w:t>
      </w:r>
    </w:p>
    <w:p w:rsidR="00000000" w:rsidRPr="003D38B7" w:rsidP="00C70556">
      <w:pPr>
        <w:pStyle w:val="BodyText"/>
      </w:pPr>
      <w:r w:rsidRPr="003D38B7">
        <w:t>No equivalent unit.</w:t>
      </w:r>
    </w:p>
    <w:p w:rsidR="00000000" w:rsidRPr="003D38B7" w:rsidP="003D38B7">
      <w:pPr>
        <w:pStyle w:val="Heading1"/>
      </w:pPr>
      <w:bookmarkStart w:id="8" w:name="O_569573"/>
      <w:bookmarkEnd w:id="8"/>
      <w:r w:rsidRPr="003D38B7">
        <w:t>Links</w:t>
      </w:r>
    </w:p>
    <w:p w:rsidR="00000000" w:rsidRPr="003D38B7" w:rsidP="00C70556">
      <w:pPr>
        <w:pStyle w:val="BodyText"/>
      </w:pPr>
      <w:r w:rsidRPr="003D3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D3EF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D38B7" w:rsidP="00C70556">
      <w:pPr>
        <w:pStyle w:val="BodyText"/>
        <w:sectPr w:rsidSect="003D38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8B7" w:rsidP="003D38B7">
      <w:pPr>
        <w:pStyle w:val="SuperHeading"/>
      </w:pPr>
      <w:r w:rsidRPr="003D38B7">
        <w:t>Assessment Requirements for SIFXMGT004 Support people dealing with grief and trauma</w:t>
      </w:r>
    </w:p>
    <w:p w:rsidR="00000000" w:rsidRPr="003D38B7" w:rsidP="003D38B7">
      <w:pPr>
        <w:pStyle w:val="Heading1"/>
      </w:pPr>
      <w:bookmarkStart w:id="9" w:name="O_569567"/>
      <w:bookmarkEnd w:id="9"/>
      <w:r w:rsidRPr="003D38B7">
        <w:t>Modification History</w:t>
      </w:r>
    </w:p>
    <w:p w:rsidR="00000000" w:rsidRPr="003D38B7" w:rsidP="00C70556">
      <w:pPr>
        <w:pStyle w:val="BodyText"/>
      </w:pPr>
      <w:r w:rsidRPr="003D38B7">
        <w:t>Not applicable.</w:t>
      </w:r>
    </w:p>
    <w:p w:rsidR="00000000" w:rsidRPr="003D38B7" w:rsidP="003D38B7">
      <w:pPr>
        <w:pStyle w:val="Heading1"/>
      </w:pPr>
      <w:bookmarkStart w:id="10" w:name="O_569568"/>
      <w:bookmarkEnd w:id="10"/>
      <w:r w:rsidRPr="003D38B7">
        <w:t>Performance Evidence</w:t>
      </w:r>
    </w:p>
    <w:p w:rsidR="00000000" w:rsidRPr="003D38B7" w:rsidP="00C70556">
      <w:pPr>
        <w:pStyle w:val="BodyText"/>
      </w:pPr>
      <w:r w:rsidRPr="003D38B7">
        <w:t>Evidence of the ability to:</w:t>
      </w:r>
    </w:p>
    <w:p w:rsidR="00000000" w:rsidRPr="003D38B7" w:rsidP="003D38B7">
      <w:pPr>
        <w:pStyle w:val="ListBullet"/>
      </w:pPr>
      <w:r w:rsidRPr="003D38B7">
        <w:t>develop organisational strategies and support for clients experiencing loss, grief and trauma</w:t>
      </w:r>
    </w:p>
    <w:p w:rsidR="00000000" w:rsidRPr="003D38B7" w:rsidP="003D38B7">
      <w:pPr>
        <w:pStyle w:val="ListBullet"/>
      </w:pPr>
      <w:r w:rsidRPr="003D38B7">
        <w:t>develop strategies to provide support, safety and welfare measures for staff dealing with grief situations.</w:t>
      </w:r>
    </w:p>
    <w:p w:rsidR="00000000" w:rsidRPr="003D38B7" w:rsidP="003D38B7">
      <w:pPr>
        <w:pStyle w:val="BodyText"/>
      </w:pPr>
    </w:p>
    <w:p w:rsidR="00000000" w:rsidRPr="003D38B7" w:rsidP="00C70556">
      <w:pPr>
        <w:pStyle w:val="BodyText"/>
      </w:pPr>
      <w:r w:rsidRPr="003D38B7">
        <w:t>Evi</w:t>
      </w:r>
      <w:r w:rsidRPr="003D38B7">
        <w:t>dence of performance developing at least one set of strategies for clients and staff is required to demonstrate consistency of performance and ability to respond to different situations.</w:t>
      </w:r>
    </w:p>
    <w:p w:rsidR="00000000" w:rsidRPr="003D38B7" w:rsidP="003D38B7">
      <w:pPr>
        <w:pStyle w:val="Heading1"/>
      </w:pPr>
      <w:bookmarkStart w:id="11" w:name="O_569569"/>
      <w:bookmarkEnd w:id="11"/>
      <w:r w:rsidRPr="003D38B7">
        <w:t>Knowledge Evidence</w:t>
      </w:r>
    </w:p>
    <w:p w:rsidR="00000000" w:rsidRPr="003D38B7" w:rsidP="00C70556">
      <w:pPr>
        <w:pStyle w:val="BodyText"/>
      </w:pPr>
      <w:r w:rsidRPr="003D38B7">
        <w:t>Demonstrated knowledge of:</w:t>
      </w:r>
    </w:p>
    <w:p w:rsidR="00000000" w:rsidRPr="003D38B7" w:rsidP="003D38B7">
      <w:pPr>
        <w:pStyle w:val="ListBullet"/>
      </w:pPr>
      <w:r w:rsidRPr="003D38B7">
        <w:t>conce</w:t>
      </w:r>
      <w:r w:rsidRPr="003D38B7">
        <w:t>pts of loss and grief</w:t>
      </w:r>
    </w:p>
    <w:p w:rsidR="00000000" w:rsidRPr="003D38B7" w:rsidP="003D38B7">
      <w:pPr>
        <w:pStyle w:val="ListBullet"/>
      </w:pPr>
      <w:r w:rsidRPr="003D38B7">
        <w:t>nature and effects of psychological, spiritual and transgenerational trauma</w:t>
      </w:r>
    </w:p>
    <w:p w:rsidR="00000000" w:rsidRPr="003D38B7" w:rsidP="003D38B7">
      <w:pPr>
        <w:pStyle w:val="ListBullet"/>
      </w:pPr>
      <w:r w:rsidRPr="003D38B7">
        <w:t>effects of grief on the physical, emotional, cognitive, behavioural, social and spiritual domains of a person’s experience</w:t>
      </w:r>
    </w:p>
    <w:p w:rsidR="00000000" w:rsidRPr="003D38B7" w:rsidP="003D38B7">
      <w:pPr>
        <w:pStyle w:val="ListBullet"/>
      </w:pPr>
      <w:r w:rsidRPr="003D38B7">
        <w:t>effective strategies that may assis</w:t>
      </w:r>
      <w:r w:rsidRPr="003D38B7">
        <w:t>t in providing a healing response to grief and trauma, including but not restricted to:</w:t>
      </w:r>
    </w:p>
    <w:p w:rsidR="00000000" w:rsidRPr="003D38B7" w:rsidP="003D38B7">
      <w:pPr>
        <w:pStyle w:val="ListBullet2"/>
      </w:pPr>
      <w:r w:rsidRPr="003D38B7">
        <w:t>individual and family counselling</w:t>
      </w:r>
    </w:p>
    <w:p w:rsidR="00000000" w:rsidRPr="003D38B7" w:rsidP="003D38B7">
      <w:pPr>
        <w:pStyle w:val="ListBullet2"/>
      </w:pPr>
      <w:r w:rsidRPr="003D38B7">
        <w:t>community action</w:t>
      </w:r>
    </w:p>
    <w:p w:rsidR="00000000" w:rsidRPr="003D38B7" w:rsidP="003D38B7">
      <w:pPr>
        <w:pStyle w:val="ListBullet2"/>
      </w:pPr>
      <w:r w:rsidRPr="003D38B7">
        <w:t>print or audio-visual resources</w:t>
      </w:r>
    </w:p>
    <w:p w:rsidR="00000000" w:rsidRPr="003D38B7" w:rsidP="003D38B7">
      <w:pPr>
        <w:pStyle w:val="ListBullet2"/>
      </w:pPr>
      <w:r w:rsidRPr="003D38B7">
        <w:t>narrative approach</w:t>
      </w:r>
    </w:p>
    <w:p w:rsidR="00000000" w:rsidRPr="003D38B7" w:rsidP="003D38B7">
      <w:pPr>
        <w:pStyle w:val="ListBullet"/>
      </w:pPr>
      <w:r w:rsidRPr="003D38B7">
        <w:t>funeral services industry codes of conduct and ethical codes</w:t>
      </w:r>
    </w:p>
    <w:p w:rsidR="00000000" w:rsidRPr="003D38B7" w:rsidP="003D38B7">
      <w:pPr>
        <w:pStyle w:val="ListBullet"/>
      </w:pPr>
      <w:r w:rsidRPr="003D38B7">
        <w:t>negative effects of stress/stress indicators</w:t>
      </w:r>
    </w:p>
    <w:p w:rsidR="00000000" w:rsidRPr="003D38B7" w:rsidP="003D38B7">
      <w:pPr>
        <w:pStyle w:val="ListBullet"/>
      </w:pPr>
      <w:r w:rsidRPr="003D38B7">
        <w:t>community and professional support systems for reducing occupational stress, including referrals to specialist services</w:t>
      </w:r>
    </w:p>
    <w:p w:rsidR="00000000" w:rsidRPr="003D38B7" w:rsidP="003D38B7">
      <w:pPr>
        <w:pStyle w:val="ListBullet"/>
      </w:pPr>
      <w:r w:rsidRPr="003D38B7">
        <w:t xml:space="preserve">workplace policies and procedures in relation to client service, human resources including </w:t>
      </w:r>
      <w:r w:rsidRPr="003D38B7">
        <w:t>duty of care requirements.</w:t>
      </w:r>
    </w:p>
    <w:p w:rsidR="00000000" w:rsidRPr="003D38B7" w:rsidP="003D38B7">
      <w:pPr>
        <w:pStyle w:val="AllowPageBreak"/>
      </w:pPr>
    </w:p>
    <w:p w:rsidR="00000000" w:rsidRPr="003D38B7" w:rsidP="003D38B7">
      <w:pPr>
        <w:pStyle w:val="Heading1"/>
      </w:pPr>
      <w:bookmarkStart w:id="12" w:name="O_569570"/>
      <w:bookmarkEnd w:id="12"/>
      <w:r w:rsidRPr="003D38B7">
        <w:t>Assessment Conditions</w:t>
      </w:r>
    </w:p>
    <w:p w:rsidR="00000000" w:rsidRPr="003D38B7" w:rsidP="00C70556">
      <w:pPr>
        <w:pStyle w:val="BodyText"/>
      </w:pPr>
      <w:r w:rsidRPr="003D38B7">
        <w:t>Skills must be demonstrated in a funeral services workplace:</w:t>
      </w:r>
    </w:p>
    <w:p w:rsidR="00000000" w:rsidRPr="003D38B7" w:rsidP="003D38B7">
      <w:pPr>
        <w:pStyle w:val="ListBullet"/>
      </w:pPr>
      <w:r w:rsidRPr="003D38B7">
        <w:t>using suitable equipment and resources, including:</w:t>
      </w:r>
    </w:p>
    <w:p w:rsidR="00000000" w:rsidRPr="003D38B7" w:rsidP="003D38B7">
      <w:pPr>
        <w:pStyle w:val="ListBullet2"/>
      </w:pPr>
      <w:r w:rsidRPr="003D38B7">
        <w:t>information resources related to grief and trauma</w:t>
      </w:r>
    </w:p>
    <w:p w:rsidR="00000000" w:rsidRPr="003D38B7" w:rsidP="003D38B7">
      <w:pPr>
        <w:pStyle w:val="ListBullet"/>
      </w:pPr>
      <w:r w:rsidRPr="003D38B7">
        <w:t xml:space="preserve">under industry conditions where there is: </w:t>
      </w:r>
    </w:p>
    <w:p w:rsidR="00000000" w:rsidRPr="003D38B7" w:rsidP="003D38B7">
      <w:pPr>
        <w:pStyle w:val="ListBullet2"/>
      </w:pPr>
      <w:r w:rsidRPr="003D38B7">
        <w:t xml:space="preserve">integration of tasks with possible interruptions to work typical of the job role </w:t>
      </w:r>
    </w:p>
    <w:p w:rsidR="00000000" w:rsidRPr="003D38B7" w:rsidP="003D38B7">
      <w:pPr>
        <w:pStyle w:val="ListBullet2"/>
      </w:pPr>
      <w:r w:rsidRPr="003D38B7">
        <w:t xml:space="preserve">interaction with grieving clients and team members </w:t>
      </w:r>
    </w:p>
    <w:p w:rsidR="00000000" w:rsidRPr="003D38B7" w:rsidP="003D38B7">
      <w:pPr>
        <w:pStyle w:val="BodyText"/>
      </w:pPr>
    </w:p>
    <w:p w:rsidR="00000000" w:rsidRPr="003D38B7" w:rsidP="00C70556">
      <w:pPr>
        <w:pStyle w:val="BodyText"/>
      </w:pPr>
      <w:r w:rsidRPr="003D38B7">
        <w:t>Assessors must satisfy the NVR/AQTF mandatory competency requirements for ass</w:t>
      </w:r>
      <w:r w:rsidRPr="003D38B7">
        <w:t>essors.</w:t>
      </w:r>
    </w:p>
    <w:p w:rsidR="00000000" w:rsidRPr="003D38B7" w:rsidP="003D38B7">
      <w:pPr>
        <w:pStyle w:val="Heading1"/>
      </w:pPr>
      <w:bookmarkStart w:id="13" w:name="O_569572"/>
      <w:bookmarkEnd w:id="13"/>
      <w:r w:rsidRPr="003D38B7">
        <w:t>Links</w:t>
      </w:r>
    </w:p>
    <w:p w:rsidR="00000000" w:rsidRPr="003D38B7" w:rsidP="00C70556">
      <w:pPr>
        <w:pStyle w:val="BodyText"/>
      </w:pPr>
      <w:r w:rsidRPr="003D3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D3EF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D38B7" w:rsidP="003D38B7"/>
    <w:sectPr w:rsidSect="003D38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 w:rsidRPr="00C70556" w:rsidP="00C70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56" w:rsidP="003D3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556" w:rsidP="003D3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70556" w:rsidP="003D38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 w:rsidP="003D3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0556">
      <w:t>Approved</w:t>
    </w:r>
    <w:r w:rsidR="00C705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05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0556">
      <w:rPr>
        <w:noProof/>
      </w:rPr>
      <w:t>4</w:t>
    </w:r>
    <w:r>
      <w:rPr>
        <w:noProof/>
      </w:rPr>
      <w:fldChar w:fldCharType="end"/>
    </w:r>
  </w:p>
  <w:p w:rsidR="003D38B7" w:rsidP="003D3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05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0556">
      <w:t>Service and Creative Skills Australia</w:t>
    </w:r>
    <w:r w:rsidR="00C70556">
      <w:fldChar w:fldCharType="end"/>
    </w:r>
  </w:p>
  <w:p w:rsidR="003D38B7" w:rsidP="003D3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8B7" w:rsidRPr="00C70556" w:rsidP="00C70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56" w:rsidRPr="002D2AF8" w:rsidP="003D3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SIFXMGT004 Support people dealing with grief and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0556" w:rsidP="003D38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B7" w:rsidRPr="002D2AF8" w:rsidP="003D3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0556">
      <w:t>SIFXMGT004 Support people dealing with grief and trauma</w:t>
    </w:r>
    <w:r w:rsidR="00C705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0556">
      <w:rPr>
        <w:noProof/>
      </w:rPr>
      <w:t>2 March 2025</w:t>
    </w:r>
    <w:r>
      <w:fldChar w:fldCharType="end"/>
    </w:r>
  </w:p>
  <w:p w:rsidR="003D38B7" w:rsidP="003D3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0B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E2F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1E7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8B7"/>
  </w:style>
  <w:style w:type="character" w:customStyle="1" w:styleId="Heading1Char">
    <w:name w:val="Heading 1 Char"/>
    <w:basedOn w:val="DefaultParagraphFont"/>
    <w:link w:val="Heading1"/>
    <w:rsid w:val="003D3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8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38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38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8B7"/>
    <w:rPr>
      <w:b/>
      <w:spacing w:val="0"/>
    </w:rPr>
  </w:style>
  <w:style w:type="paragraph" w:styleId="ListBullet2">
    <w:name w:val="List Bullet 2"/>
    <w:basedOn w:val="List2"/>
    <w:rsid w:val="003D38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8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3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8B7"/>
    <w:rPr>
      <w:i/>
    </w:rPr>
  </w:style>
  <w:style w:type="paragraph" w:styleId="Caption">
    <w:name w:val="caption"/>
    <w:basedOn w:val="BodyText"/>
    <w:next w:val="Normal"/>
    <w:qFormat/>
    <w:rsid w:val="003D3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8B7"/>
  </w:style>
  <w:style w:type="paragraph" w:styleId="TableofFigures">
    <w:name w:val="table of figures"/>
    <w:basedOn w:val="Normal"/>
    <w:next w:val="Normal"/>
    <w:semiHidden/>
    <w:rsid w:val="003D3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8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8B7"/>
    <w:rPr>
      <w:rFonts w:ascii="Wingdings" w:hAnsi="Wingdings"/>
    </w:rPr>
  </w:style>
  <w:style w:type="paragraph" w:customStyle="1" w:styleId="TableHeading">
    <w:name w:val="Table Heading"/>
    <w:basedOn w:val="HeadingBase"/>
    <w:rsid w:val="003D3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8B7"/>
    <w:rPr>
      <w:color w:val="0033CC"/>
      <w:u w:val="none"/>
    </w:rPr>
  </w:style>
  <w:style w:type="paragraph" w:customStyle="1" w:styleId="BodyTextRight">
    <w:name w:val="Body Text Right"/>
    <w:basedOn w:val="BodyText"/>
    <w:rsid w:val="003D3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8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8B7"/>
    <w:rPr>
      <w:sz w:val="32"/>
    </w:rPr>
  </w:style>
  <w:style w:type="paragraph" w:customStyle="1" w:styleId="HeadingProcedure">
    <w:name w:val="Heading Procedure"/>
    <w:basedOn w:val="HeadingBase"/>
    <w:next w:val="Normal"/>
    <w:rsid w:val="003D3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8B7"/>
    <w:pPr>
      <w:spacing w:before="60" w:after="60"/>
    </w:pPr>
  </w:style>
  <w:style w:type="paragraph" w:styleId="ListContinue">
    <w:name w:val="List Continue"/>
    <w:basedOn w:val="List"/>
    <w:rsid w:val="003D38B7"/>
    <w:pPr>
      <w:ind w:firstLine="0"/>
    </w:pPr>
  </w:style>
  <w:style w:type="paragraph" w:customStyle="1" w:styleId="ListNote">
    <w:name w:val="List Note"/>
    <w:basedOn w:val="List"/>
    <w:rsid w:val="003D3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8B7"/>
    <w:rPr>
      <w:rFonts w:ascii="Courier New" w:hAnsi="Courier New"/>
    </w:rPr>
  </w:style>
  <w:style w:type="paragraph" w:customStyle="1" w:styleId="NoteBullet">
    <w:name w:val="Note Bullet"/>
    <w:basedOn w:val="Note"/>
    <w:rsid w:val="003D3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8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8B7"/>
    <w:rPr>
      <w:b/>
      <w:smallCaps/>
    </w:rPr>
  </w:style>
  <w:style w:type="paragraph" w:customStyle="1" w:styleId="TableListNumber">
    <w:name w:val="Table List Number"/>
    <w:basedOn w:val="ListNumber"/>
    <w:rsid w:val="003D3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8B7"/>
    <w:pPr>
      <w:numPr>
        <w:numId w:val="9"/>
      </w:numPr>
    </w:pPr>
  </w:style>
  <w:style w:type="paragraph" w:customStyle="1" w:styleId="ListAlpha2">
    <w:name w:val="List Alpha 2"/>
    <w:basedOn w:val="List2"/>
    <w:rsid w:val="003D38B7"/>
    <w:pPr>
      <w:numPr>
        <w:numId w:val="8"/>
      </w:numPr>
    </w:pPr>
  </w:style>
  <w:style w:type="paragraph" w:styleId="List2">
    <w:name w:val="List 2"/>
    <w:basedOn w:val="BodyText"/>
    <w:rsid w:val="003D3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8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8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8B7"/>
    <w:pPr>
      <w:numPr>
        <w:numId w:val="4"/>
      </w:numPr>
    </w:pPr>
  </w:style>
  <w:style w:type="paragraph" w:styleId="ListContinue2">
    <w:name w:val="List Continue 2"/>
    <w:basedOn w:val="List2"/>
    <w:rsid w:val="003D38B7"/>
    <w:pPr>
      <w:ind w:firstLine="0"/>
    </w:pPr>
  </w:style>
  <w:style w:type="paragraph" w:styleId="ListContinue3">
    <w:name w:val="List Continue 3"/>
    <w:basedOn w:val="List3"/>
    <w:rsid w:val="003D38B7"/>
    <w:pPr>
      <w:ind w:left="1021" w:firstLine="0"/>
    </w:pPr>
  </w:style>
  <w:style w:type="paragraph" w:styleId="ListContinue4">
    <w:name w:val="List Continue 4"/>
    <w:basedOn w:val="List4"/>
    <w:rsid w:val="003D38B7"/>
    <w:pPr>
      <w:ind w:firstLine="0"/>
    </w:pPr>
  </w:style>
  <w:style w:type="paragraph" w:styleId="ListContinue5">
    <w:name w:val="List Continue 5"/>
    <w:basedOn w:val="List5"/>
    <w:rsid w:val="003D38B7"/>
    <w:pPr>
      <w:ind w:firstLine="0"/>
    </w:pPr>
  </w:style>
  <w:style w:type="paragraph" w:styleId="ListNumber3">
    <w:name w:val="List Number 3"/>
    <w:basedOn w:val="List3"/>
    <w:rsid w:val="003D38B7"/>
    <w:pPr>
      <w:numPr>
        <w:numId w:val="5"/>
      </w:numPr>
    </w:pPr>
  </w:style>
  <w:style w:type="paragraph" w:styleId="ListNumber4">
    <w:name w:val="List Number 4"/>
    <w:basedOn w:val="List4"/>
    <w:rsid w:val="003D38B7"/>
    <w:pPr>
      <w:numPr>
        <w:numId w:val="6"/>
      </w:numPr>
    </w:pPr>
  </w:style>
  <w:style w:type="paragraph" w:styleId="ListNumber5">
    <w:name w:val="List Number 5"/>
    <w:basedOn w:val="List5"/>
    <w:rsid w:val="003D38B7"/>
    <w:pPr>
      <w:numPr>
        <w:numId w:val="7"/>
      </w:numPr>
    </w:pPr>
  </w:style>
  <w:style w:type="paragraph" w:styleId="BlockText">
    <w:name w:val="Block Text"/>
    <w:basedOn w:val="Normal"/>
    <w:rsid w:val="003D3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8B7"/>
    <w:rPr>
      <w:sz w:val="16"/>
      <w:vertAlign w:val="superscript"/>
    </w:rPr>
  </w:style>
  <w:style w:type="character" w:customStyle="1" w:styleId="Symbols">
    <w:name w:val="Symbols"/>
    <w:basedOn w:val="DefaultParagraphFont"/>
    <w:rsid w:val="003D38B7"/>
    <w:rPr>
      <w:rFonts w:ascii="Symbol" w:hAnsi="Symbol"/>
    </w:rPr>
  </w:style>
  <w:style w:type="character" w:customStyle="1" w:styleId="MenuOptions">
    <w:name w:val="Menu Options"/>
    <w:basedOn w:val="DefaultParagraphFont"/>
    <w:rsid w:val="003D3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8B7"/>
    <w:rPr>
      <w:b/>
    </w:rPr>
  </w:style>
  <w:style w:type="character" w:customStyle="1" w:styleId="Underlined">
    <w:name w:val="Underlined"/>
    <w:basedOn w:val="DefaultParagraphFont"/>
    <w:rsid w:val="003D38B7"/>
    <w:rPr>
      <w:u w:val="single"/>
    </w:rPr>
  </w:style>
  <w:style w:type="paragraph" w:customStyle="1" w:styleId="TableBodyTextRight">
    <w:name w:val="Table Body Text Right"/>
    <w:basedOn w:val="TableBodyText"/>
    <w:rsid w:val="003D3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8B7"/>
    <w:rPr>
      <w:sz w:val="18"/>
    </w:rPr>
  </w:style>
  <w:style w:type="paragraph" w:customStyle="1" w:styleId="BodySmallRight">
    <w:name w:val="Body Small Right"/>
    <w:basedOn w:val="BodyTextRight"/>
    <w:rsid w:val="003D38B7"/>
    <w:rPr>
      <w:sz w:val="18"/>
      <w:szCs w:val="18"/>
    </w:rPr>
  </w:style>
  <w:style w:type="paragraph" w:customStyle="1" w:styleId="MarginEdition">
    <w:name w:val="Margin Edition"/>
    <w:basedOn w:val="MarginNote"/>
    <w:rsid w:val="003D3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8B7"/>
    <w:rPr>
      <w:sz w:val="2"/>
      <w:szCs w:val="2"/>
    </w:rPr>
  </w:style>
  <w:style w:type="character" w:customStyle="1" w:styleId="Small">
    <w:name w:val="Small"/>
    <w:basedOn w:val="DefaultParagraphFont"/>
    <w:rsid w:val="003D38B7"/>
    <w:rPr>
      <w:sz w:val="16"/>
    </w:rPr>
  </w:style>
  <w:style w:type="paragraph" w:customStyle="1" w:styleId="WideTable">
    <w:name w:val="Wide Table"/>
    <w:basedOn w:val="Normal"/>
    <w:rsid w:val="003D3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8B7"/>
  </w:style>
  <w:style w:type="paragraph" w:styleId="Quote">
    <w:name w:val="Quote"/>
    <w:basedOn w:val="Heading1"/>
    <w:link w:val="QuoteChar"/>
    <w:qFormat/>
    <w:rsid w:val="003D3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8B7"/>
    <w:pPr>
      <w:pageBreakBefore/>
    </w:pPr>
  </w:style>
  <w:style w:type="paragraph" w:customStyle="1" w:styleId="Border">
    <w:name w:val="Border"/>
    <w:basedOn w:val="Normal"/>
    <w:qFormat/>
    <w:rsid w:val="003D3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8B7"/>
    <w:rPr>
      <w:u w:val="single"/>
    </w:rPr>
  </w:style>
  <w:style w:type="character" w:customStyle="1" w:styleId="BoldandItalics">
    <w:name w:val="Bold and Italics"/>
    <w:qFormat/>
    <w:rsid w:val="003D38B7"/>
    <w:rPr>
      <w:b/>
      <w:i/>
      <w:u w:val="none"/>
    </w:rPr>
  </w:style>
  <w:style w:type="paragraph" w:styleId="BalloonText">
    <w:name w:val="Balloon Text"/>
    <w:basedOn w:val="Normal"/>
    <w:link w:val="BalloonTextChar"/>
    <w:rsid w:val="003D3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8B7"/>
    <w:pPr>
      <w:spacing w:before="0" w:after="0"/>
    </w:pPr>
  </w:style>
  <w:style w:type="paragraph" w:customStyle="1" w:styleId="BodyTextBold">
    <w:name w:val="Body Text Bold"/>
    <w:basedOn w:val="BodyText"/>
    <w:qFormat/>
    <w:rsid w:val="003D38B7"/>
    <w:rPr>
      <w:b/>
    </w:rPr>
  </w:style>
  <w:style w:type="character" w:styleId="Hyperlink">
    <w:name w:val="Hyperlink"/>
    <w:basedOn w:val="DefaultParagraphFont"/>
    <w:uiPriority w:val="99"/>
    <w:unhideWhenUsed/>
    <w:rsid w:val="00C70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4360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SIFXMGT004 Support people dealing with grief and trauma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