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3D3C" w:rsidP="00C43D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SIFEWHS001 Follow mortuary work health and safety procedures</w:t>
      </w:r>
      <w:r>
        <w:fldChar w:fldCharType="end"/>
      </w:r>
    </w:p>
    <w:p w:rsidR="00C43D3C" w:rsidP="00C43D3C">
      <w:pPr>
        <w:pStyle w:val="Version"/>
        <w:sectPr w:rsidSect="00DE12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E1212" w:rsidP="00DE1212">
      <w:pPr>
        <w:pStyle w:val="SuperHeading"/>
      </w:pPr>
      <w:r w:rsidRPr="00DE1212">
        <w:t>Assessment Requirements for SIFEWHS001 Follow mortuary work health and safety procedures</w:t>
      </w:r>
    </w:p>
    <w:p w:rsidR="00000000" w:rsidRPr="00DE1212" w:rsidP="00DE1212">
      <w:pPr>
        <w:pStyle w:val="Heading1"/>
      </w:pPr>
      <w:bookmarkStart w:id="1" w:name="O_582080"/>
      <w:bookmarkEnd w:id="1"/>
      <w:r w:rsidRPr="00DE1212">
        <w:t>Modification History</w:t>
      </w:r>
    </w:p>
    <w:p w:rsidR="00000000" w:rsidRPr="00DE1212" w:rsidP="00C43D3C">
      <w:pPr>
        <w:pStyle w:val="BodyText"/>
      </w:pPr>
      <w:r w:rsidRPr="00DE1212">
        <w:t>The details of this endorsed unit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13"/>
        <w:gridCol w:w="4621"/>
      </w:tblGrid>
      <w:tr w:rsidTr="00DE12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212" w:rsidP="00DE1212">
            <w:pPr>
              <w:pStyle w:val="BodyText"/>
            </w:pPr>
            <w:r w:rsidRPr="00DE1212">
              <w:rPr>
                <w:rStyle w:val="SpecialBold"/>
              </w:rPr>
              <w:t>Release</w:t>
            </w:r>
          </w:p>
        </w:tc>
        <w:tc>
          <w:tcPr>
            <w:tcW w:w="4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212">
            <w:pPr>
              <w:pStyle w:val="BodyText"/>
              <w:rPr>
                <w:lang w:val="en-NZ"/>
              </w:rPr>
            </w:pPr>
            <w:r w:rsidRPr="00DE1212">
              <w:rPr>
                <w:rStyle w:val="SpecialBold"/>
              </w:rPr>
              <w:t>Comments</w:t>
            </w:r>
          </w:p>
        </w:tc>
      </w:tr>
      <w:tr w:rsidTr="00DE12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212">
            <w:pPr>
              <w:pStyle w:val="BodyText"/>
              <w:rPr>
                <w:lang w:val="en-NZ"/>
              </w:rPr>
            </w:pPr>
            <w:r w:rsidRPr="00DE1212">
              <w:t>Two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212">
            <w:pPr>
              <w:pStyle w:val="BodyText"/>
              <w:rPr>
                <w:lang w:val="en-NZ"/>
              </w:rPr>
            </w:pPr>
            <w:r w:rsidRPr="00DE1212">
              <w:t>Grammatical errors corrected in Knowledge Evidence and Assessment Conditions.</w:t>
            </w:r>
          </w:p>
        </w:tc>
      </w:tr>
      <w:tr w:rsidTr="00DE12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212">
            <w:pPr>
              <w:pStyle w:val="BodyText"/>
              <w:rPr>
                <w:lang w:val="en-NZ"/>
              </w:rPr>
            </w:pPr>
            <w:r w:rsidRPr="00DE1212">
              <w:t>One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212" w:rsidP="00DE1212">
            <w:pPr>
              <w:pStyle w:val="BodyText"/>
            </w:pPr>
            <w:r w:rsidRPr="00DE1212">
              <w:t xml:space="preserve"> Reflects the Standards for Training Packages.</w:t>
            </w:r>
          </w:p>
        </w:tc>
      </w:tr>
    </w:tbl>
    <w:p w:rsidR="00000000" w:rsidRPr="00DE1212" w:rsidP="00DE1212">
      <w:pPr>
        <w:pStyle w:val="BodyText"/>
      </w:pPr>
    </w:p>
    <w:p w:rsidR="00000000" w:rsidRPr="00DE1212" w:rsidP="00DE1212">
      <w:pPr>
        <w:pStyle w:val="AllowPageBreak"/>
      </w:pPr>
    </w:p>
    <w:p w:rsidR="00000000" w:rsidRPr="00DE1212" w:rsidP="00DE1212">
      <w:pPr>
        <w:pStyle w:val="Heading1"/>
      </w:pPr>
      <w:bookmarkStart w:id="2" w:name="O_582079"/>
      <w:bookmarkEnd w:id="2"/>
      <w:r w:rsidRPr="00DE1212">
        <w:t>Performance Evidence</w:t>
      </w:r>
    </w:p>
    <w:p w:rsidR="00000000" w:rsidRPr="00DE1212" w:rsidP="00C43D3C">
      <w:pPr>
        <w:pStyle w:val="BodyText"/>
      </w:pPr>
      <w:r w:rsidRPr="00DE1212">
        <w:t>Evidence of the ability to:</w:t>
      </w:r>
    </w:p>
    <w:p w:rsidR="00000000" w:rsidRPr="00DE1212" w:rsidP="00DE1212">
      <w:pPr>
        <w:pStyle w:val="ListBullet"/>
      </w:pPr>
      <w:r w:rsidRPr="00DE1212">
        <w:t>f</w:t>
      </w:r>
      <w:r w:rsidRPr="00DE1212">
        <w:t>ollow predetermined health, safety and infection control procedures</w:t>
      </w:r>
    </w:p>
    <w:p w:rsidR="00000000" w:rsidRPr="00DE1212" w:rsidP="00DE1212">
      <w:pPr>
        <w:pStyle w:val="ListBullet"/>
      </w:pPr>
      <w:r w:rsidRPr="00DE1212">
        <w:t>handle hazardous substances for a given mortuary operation and in line with regulatory requirements.</w:t>
      </w:r>
    </w:p>
    <w:p w:rsidR="00000000" w:rsidRPr="00DE1212" w:rsidP="00DE1212">
      <w:pPr>
        <w:pStyle w:val="BodyText"/>
      </w:pPr>
    </w:p>
    <w:p w:rsidR="00000000" w:rsidRPr="00DE1212" w:rsidP="00C43D3C">
      <w:pPr>
        <w:pStyle w:val="BodyText"/>
      </w:pPr>
      <w:r w:rsidRPr="00DE1212">
        <w:t>Evidence of performance of incorporating mortuary work health and safety procedures in</w:t>
      </w:r>
      <w:r w:rsidRPr="00DE1212">
        <w:t xml:space="preserve"> workplace activities on five or more occasions is required to demonstrate consistency of performance and ability to respond to different situations.</w:t>
      </w:r>
    </w:p>
    <w:p w:rsidR="00000000" w:rsidRPr="00DE1212" w:rsidP="00DE1212">
      <w:pPr>
        <w:pStyle w:val="Heading1"/>
      </w:pPr>
      <w:bookmarkStart w:id="3" w:name="O_582078"/>
      <w:bookmarkEnd w:id="3"/>
      <w:r w:rsidRPr="00DE1212">
        <w:t>Knowledge Evidence</w:t>
      </w:r>
    </w:p>
    <w:p w:rsidR="00000000" w:rsidRPr="00DE1212" w:rsidP="00C43D3C">
      <w:pPr>
        <w:pStyle w:val="BodyText"/>
      </w:pPr>
      <w:r w:rsidRPr="00DE1212">
        <w:t>Demonstrated knowledge of:</w:t>
      </w:r>
    </w:p>
    <w:p w:rsidR="00000000" w:rsidRPr="00DE1212" w:rsidP="00DE1212">
      <w:pPr>
        <w:pStyle w:val="ListBullet"/>
      </w:pPr>
      <w:r w:rsidRPr="00DE1212">
        <w:t>federal, state or territory, and local gov</w:t>
      </w:r>
      <w:r w:rsidRPr="00DE1212">
        <w:t>ernment legislation and regulations relating to work health and safety/occupational health and safety and infection control for a mortuary environment</w:t>
      </w:r>
    </w:p>
    <w:p w:rsidR="00000000" w:rsidRPr="00DE1212" w:rsidP="00DE1212">
      <w:pPr>
        <w:pStyle w:val="ListBullet"/>
      </w:pPr>
      <w:r w:rsidRPr="00DE1212">
        <w:t>purpose of the legal requirement to work according to health, safety and security procedures and inflecti</w:t>
      </w:r>
      <w:r w:rsidRPr="00DE1212">
        <w:t>on control in a mortuary environment, and the implications for not following those procedures</w:t>
      </w:r>
    </w:p>
    <w:p w:rsidR="00000000" w:rsidRPr="00DE1212" w:rsidP="00DE1212">
      <w:pPr>
        <w:pStyle w:val="ListBullet"/>
      </w:pPr>
      <w:r w:rsidRPr="00DE1212">
        <w:t>employer’s and employee’s responsibilities under work health and safety/occupational health and safety legislation</w:t>
      </w:r>
    </w:p>
    <w:p w:rsidR="00000000" w:rsidRPr="00DE1212" w:rsidP="00DE1212">
      <w:pPr>
        <w:pStyle w:val="ListBullet"/>
      </w:pPr>
      <w:r w:rsidRPr="00DE1212">
        <w:t>workplace policies and procedures in relation t</w:t>
      </w:r>
      <w:r w:rsidRPr="00DE1212">
        <w:t>o work health and safety/occupational health and safety and inflection control for a mortuary environment</w:t>
      </w:r>
    </w:p>
    <w:p w:rsidR="00000000" w:rsidRPr="00DE1212" w:rsidP="00DE1212">
      <w:pPr>
        <w:pStyle w:val="ListBullet"/>
      </w:pPr>
      <w:r w:rsidRPr="00DE1212">
        <w:t>mortuary workplace hazards, including:</w:t>
      </w:r>
    </w:p>
    <w:p w:rsidR="00000000" w:rsidRPr="00DE1212" w:rsidP="00DE1212">
      <w:pPr>
        <w:pStyle w:val="ListBullet2"/>
      </w:pPr>
      <w:r w:rsidRPr="00DE1212">
        <w:t>manual handling</w:t>
      </w:r>
    </w:p>
    <w:p w:rsidR="00000000" w:rsidRPr="00DE1212" w:rsidP="00DE1212">
      <w:pPr>
        <w:pStyle w:val="ListBullet2"/>
      </w:pPr>
      <w:r w:rsidRPr="00DE1212">
        <w:t>toxic substances</w:t>
      </w:r>
    </w:p>
    <w:p w:rsidR="00000000" w:rsidRPr="00DE1212" w:rsidP="00DE1212">
      <w:pPr>
        <w:pStyle w:val="ListBullet2"/>
      </w:pPr>
      <w:r w:rsidRPr="00DE1212">
        <w:t>industrial gases</w:t>
      </w:r>
    </w:p>
    <w:p w:rsidR="00000000" w:rsidRPr="00DE1212" w:rsidP="00DE1212">
      <w:pPr>
        <w:pStyle w:val="ListBullet2"/>
      </w:pPr>
      <w:r w:rsidRPr="00DE1212">
        <w:t>body fluids and human tissue</w:t>
      </w:r>
    </w:p>
    <w:p w:rsidR="00000000" w:rsidRPr="00DE1212" w:rsidP="00DE1212">
      <w:pPr>
        <w:pStyle w:val="ListBullet2"/>
      </w:pPr>
      <w:r w:rsidRPr="00DE1212">
        <w:t>infections</w:t>
      </w:r>
    </w:p>
    <w:p w:rsidR="00000000" w:rsidRPr="00DE1212" w:rsidP="00DE1212">
      <w:pPr>
        <w:pStyle w:val="ListBullet2"/>
      </w:pPr>
      <w:r w:rsidRPr="00DE1212">
        <w:t>fire</w:t>
      </w:r>
    </w:p>
    <w:p w:rsidR="00000000" w:rsidRPr="00DE1212" w:rsidP="00DE1212">
      <w:pPr>
        <w:pStyle w:val="ListBullet2"/>
      </w:pPr>
      <w:r w:rsidRPr="00DE1212">
        <w:t>infectious waste</w:t>
      </w:r>
    </w:p>
    <w:p w:rsidR="00000000" w:rsidRPr="00DE1212" w:rsidP="00DE1212">
      <w:pPr>
        <w:pStyle w:val="ListBullet2"/>
      </w:pPr>
      <w:r w:rsidRPr="00DE1212">
        <w:t>sharps</w:t>
      </w:r>
    </w:p>
    <w:p w:rsidR="00000000" w:rsidRPr="00DE1212" w:rsidP="00DE1212">
      <w:pPr>
        <w:pStyle w:val="ListBullet2"/>
      </w:pPr>
      <w:r w:rsidRPr="00DE1212">
        <w:t>chemical spills</w:t>
      </w:r>
    </w:p>
    <w:p w:rsidR="00000000" w:rsidRPr="00DE1212" w:rsidP="00DE1212">
      <w:pPr>
        <w:pStyle w:val="ListBullet2"/>
      </w:pPr>
      <w:r w:rsidRPr="00DE1212">
        <w:t>dust and vapours</w:t>
      </w:r>
    </w:p>
    <w:p w:rsidR="00000000" w:rsidRPr="00DE1212" w:rsidP="00DE1212">
      <w:pPr>
        <w:pStyle w:val="ListBullet2"/>
      </w:pPr>
      <w:r w:rsidRPr="00DE1212">
        <w:t>noise, light and energy sources</w:t>
      </w:r>
    </w:p>
    <w:p w:rsidR="00000000" w:rsidRPr="00DE1212" w:rsidP="00DE1212">
      <w:pPr>
        <w:pStyle w:val="ListBullet2"/>
      </w:pPr>
      <w:r w:rsidRPr="00DE1212">
        <w:t>electrical equipment</w:t>
      </w:r>
    </w:p>
    <w:p w:rsidR="00000000" w:rsidRPr="00DE1212" w:rsidP="00DE1212">
      <w:pPr>
        <w:pStyle w:val="ListBullet2"/>
      </w:pPr>
      <w:r w:rsidRPr="00DE1212">
        <w:t>vehicles</w:t>
      </w:r>
    </w:p>
    <w:p w:rsidR="00000000" w:rsidRPr="00DE1212" w:rsidP="00DE1212">
      <w:pPr>
        <w:pStyle w:val="ListBullet2"/>
      </w:pPr>
      <w:r w:rsidRPr="00DE1212">
        <w:t>personal lifestyle</w:t>
      </w:r>
    </w:p>
    <w:p w:rsidR="00000000" w:rsidRPr="00DE1212" w:rsidP="00DE1212">
      <w:pPr>
        <w:pStyle w:val="ListBullet2"/>
      </w:pPr>
      <w:r w:rsidRPr="00DE1212">
        <w:t>workplace stress</w:t>
      </w:r>
    </w:p>
    <w:p w:rsidR="00000000" w:rsidRPr="00DE1212" w:rsidP="00DE1212">
      <w:pPr>
        <w:pStyle w:val="ListBullet2"/>
      </w:pPr>
      <w:r w:rsidRPr="00DE1212">
        <w:t>people</w:t>
      </w:r>
    </w:p>
    <w:p w:rsidR="00000000" w:rsidRPr="00DE1212" w:rsidP="00DE1212">
      <w:pPr>
        <w:pStyle w:val="ListBullet"/>
      </w:pPr>
      <w:r w:rsidRPr="00DE1212">
        <w:t>reporting hazards procedures and responsible personnel</w:t>
      </w:r>
    </w:p>
    <w:p w:rsidR="00000000" w:rsidRPr="00DE1212" w:rsidP="00DE1212">
      <w:pPr>
        <w:pStyle w:val="ListBullet"/>
      </w:pPr>
      <w:r w:rsidRPr="00DE1212">
        <w:t>use and purpose of emergency equipment</w:t>
      </w:r>
    </w:p>
    <w:p w:rsidR="00000000" w:rsidRPr="00DE1212" w:rsidP="00DE1212">
      <w:pPr>
        <w:pStyle w:val="ListBullet"/>
      </w:pPr>
      <w:r w:rsidRPr="00DE1212">
        <w:t xml:space="preserve">manual handling procedures </w:t>
      </w:r>
    </w:p>
    <w:p w:rsidR="00000000" w:rsidRPr="00DE1212" w:rsidP="00DE1212">
      <w:pPr>
        <w:pStyle w:val="ListBullet"/>
      </w:pPr>
      <w:r w:rsidRPr="00DE1212">
        <w:t>personal hygiene practices, including:</w:t>
      </w:r>
    </w:p>
    <w:p w:rsidR="00000000" w:rsidRPr="00DE1212" w:rsidP="00DE1212">
      <w:pPr>
        <w:pStyle w:val="ListBullet2"/>
      </w:pPr>
      <w:r w:rsidRPr="00DE1212">
        <w:t>maintenance of cleanliness of work clothes</w:t>
      </w:r>
    </w:p>
    <w:p w:rsidR="00000000" w:rsidRPr="00DE1212" w:rsidP="00DE1212">
      <w:pPr>
        <w:pStyle w:val="ListBullet2"/>
      </w:pPr>
      <w:r w:rsidRPr="00DE1212">
        <w:t>hand washing</w:t>
      </w:r>
    </w:p>
    <w:p w:rsidR="00000000" w:rsidRPr="00DE1212" w:rsidP="00DE1212">
      <w:pPr>
        <w:pStyle w:val="ListBullet2"/>
      </w:pPr>
      <w:r w:rsidRPr="00DE1212">
        <w:t>food hygiene practices</w:t>
      </w:r>
    </w:p>
    <w:p w:rsidR="00000000" w:rsidRPr="00DE1212" w:rsidP="00DE1212">
      <w:pPr>
        <w:pStyle w:val="ListBullet2"/>
      </w:pPr>
      <w:r w:rsidRPr="00DE1212">
        <w:t>use of personal protective equipment</w:t>
      </w:r>
    </w:p>
    <w:p w:rsidR="00000000" w:rsidRPr="00DE1212" w:rsidP="00DE1212">
      <w:pPr>
        <w:pStyle w:val="ListBullet"/>
      </w:pPr>
      <w:r w:rsidRPr="00DE1212">
        <w:t>standard precautions, including:</w:t>
      </w:r>
    </w:p>
    <w:p w:rsidR="00000000" w:rsidRPr="00DE1212" w:rsidP="00DE1212">
      <w:pPr>
        <w:pStyle w:val="ListBullet2"/>
      </w:pPr>
      <w:r w:rsidRPr="00DE1212">
        <w:t>use of personal protective equipment</w:t>
      </w:r>
    </w:p>
    <w:p w:rsidR="00000000" w:rsidRPr="00DE1212" w:rsidP="00DE1212">
      <w:pPr>
        <w:pStyle w:val="ListBullet2"/>
      </w:pPr>
      <w:r w:rsidRPr="00DE1212">
        <w:t>presumption that all blood and body fluids are infectious</w:t>
      </w:r>
    </w:p>
    <w:p w:rsidR="00000000" w:rsidRPr="00DE1212" w:rsidP="00DE1212">
      <w:pPr>
        <w:pStyle w:val="ListBullet2"/>
      </w:pPr>
      <w:r w:rsidRPr="00DE1212">
        <w:t>covering exposed cuts and abrasions, particularly on workers’ hands, with waterproof coverings prior to commencing work</w:t>
      </w:r>
    </w:p>
    <w:p w:rsidR="00000000" w:rsidRPr="00DE1212" w:rsidP="00DE1212">
      <w:pPr>
        <w:pStyle w:val="ListBullet2"/>
      </w:pPr>
      <w:r w:rsidRPr="00DE1212">
        <w:t>immediate treatment of puncture wounds or abrasions</w:t>
      </w:r>
    </w:p>
    <w:p w:rsidR="00000000" w:rsidRPr="00DE1212" w:rsidP="00DE1212">
      <w:pPr>
        <w:pStyle w:val="ListBullet2"/>
      </w:pPr>
      <w:r w:rsidRPr="00DE1212">
        <w:t>use of protective clothin</w:t>
      </w:r>
      <w:r w:rsidRPr="00DE1212">
        <w:t>g when cleaning spillage of body fluids</w:t>
      </w:r>
    </w:p>
    <w:p w:rsidR="00000000" w:rsidRPr="00DE1212" w:rsidP="00DE1212">
      <w:pPr>
        <w:pStyle w:val="ListBullet"/>
      </w:pPr>
      <w:r w:rsidRPr="00DE1212">
        <w:t>infectious and contaminated waste in a mortuary, including:</w:t>
      </w:r>
    </w:p>
    <w:p w:rsidR="00000000" w:rsidRPr="00DE1212" w:rsidP="00DE1212">
      <w:pPr>
        <w:pStyle w:val="ListBullet2"/>
      </w:pPr>
      <w:r w:rsidRPr="00DE1212">
        <w:t>body parts</w:t>
      </w:r>
    </w:p>
    <w:p w:rsidR="00000000" w:rsidRPr="00DE1212" w:rsidP="00DE1212">
      <w:pPr>
        <w:pStyle w:val="ListBullet2"/>
      </w:pPr>
      <w:r w:rsidRPr="00DE1212">
        <w:t>human tissue</w:t>
      </w:r>
    </w:p>
    <w:p w:rsidR="00000000" w:rsidRPr="00DE1212" w:rsidP="00DE1212">
      <w:pPr>
        <w:pStyle w:val="ListBullet2"/>
      </w:pPr>
      <w:r w:rsidRPr="00DE1212">
        <w:t>human blood and body fluid</w:t>
      </w:r>
    </w:p>
    <w:p w:rsidR="00000000" w:rsidRPr="00DE1212" w:rsidP="00DE1212">
      <w:pPr>
        <w:pStyle w:val="ListBullet2"/>
      </w:pPr>
      <w:r w:rsidRPr="00DE1212">
        <w:t>materials and equipment containing human blood and body fluid</w:t>
      </w:r>
    </w:p>
    <w:p w:rsidR="00000000" w:rsidRPr="00DE1212" w:rsidP="00DE1212">
      <w:pPr>
        <w:pStyle w:val="ListBullet2"/>
      </w:pPr>
      <w:r w:rsidRPr="00DE1212">
        <w:t>contaminated garments</w:t>
      </w:r>
    </w:p>
    <w:p w:rsidR="00000000" w:rsidRPr="00DE1212" w:rsidP="00DE1212">
      <w:pPr>
        <w:pStyle w:val="ListBullet2"/>
      </w:pPr>
      <w:r w:rsidRPr="00DE1212">
        <w:t>soiled dressings, sharps, swabs, catheters and bandages</w:t>
      </w:r>
    </w:p>
    <w:p w:rsidR="00000000" w:rsidRPr="00DE1212" w:rsidP="00DE1212">
      <w:pPr>
        <w:pStyle w:val="ListBullet"/>
      </w:pPr>
      <w:r w:rsidRPr="00DE1212">
        <w:t>properties of hazardous substances</w:t>
      </w:r>
    </w:p>
    <w:p w:rsidR="00000000" w:rsidRPr="00DE1212" w:rsidP="00DE1212">
      <w:pPr>
        <w:pStyle w:val="ListBullet"/>
      </w:pPr>
      <w:r w:rsidRPr="00DE1212">
        <w:t>environmentally sound disposal methods for all types of waste and in particular for hazardous substances disposal techniques in a mortuary</w:t>
      </w:r>
    </w:p>
    <w:p w:rsidR="00000000" w:rsidRPr="00DE1212" w:rsidP="00DE1212">
      <w:pPr>
        <w:pStyle w:val="ListBullet"/>
      </w:pPr>
      <w:r w:rsidRPr="00DE1212">
        <w:t>equipment and materials u</w:t>
      </w:r>
      <w:r w:rsidRPr="00DE1212">
        <w:t>sed to carry out housekeeping.</w:t>
      </w:r>
    </w:p>
    <w:p w:rsidR="00000000" w:rsidRPr="00DE1212" w:rsidP="00DE1212">
      <w:pPr>
        <w:pStyle w:val="AllowPageBreak"/>
      </w:pPr>
    </w:p>
    <w:p w:rsidR="00000000" w:rsidRPr="00DE1212" w:rsidP="00DE1212">
      <w:pPr>
        <w:pStyle w:val="Heading1"/>
      </w:pPr>
      <w:bookmarkStart w:id="4" w:name="O_582077"/>
      <w:bookmarkEnd w:id="4"/>
      <w:r w:rsidRPr="00DE1212">
        <w:t>Assessment Conditions</w:t>
      </w:r>
    </w:p>
    <w:p w:rsidR="00000000" w:rsidRPr="00DE1212" w:rsidP="00C43D3C">
      <w:pPr>
        <w:pStyle w:val="BodyText"/>
      </w:pPr>
      <w:r w:rsidRPr="00DE1212">
        <w:t>Skills must be demonstrated in the workplace or in a simulated environment that is as industry realistic as possible. In a simulated environment, it is essential that assessment is condu</w:t>
      </w:r>
      <w:r w:rsidRPr="00DE1212">
        <w:t xml:space="preserve">cted: </w:t>
      </w:r>
    </w:p>
    <w:p w:rsidR="00000000" w:rsidRPr="00DE1212" w:rsidP="00DE1212">
      <w:pPr>
        <w:pStyle w:val="ListBullet"/>
      </w:pPr>
      <w:r w:rsidRPr="00DE1212">
        <w:t>using suitable facilities, equipment and resources, including:</w:t>
      </w:r>
    </w:p>
    <w:p w:rsidR="00000000" w:rsidRPr="00DE1212" w:rsidP="00DE1212">
      <w:pPr>
        <w:pStyle w:val="ListBullet2"/>
      </w:pPr>
      <w:r w:rsidRPr="00DE1212">
        <w:t>a mortuary facility where deceased bodies and hazardous wastes are handled</w:t>
      </w:r>
    </w:p>
    <w:p w:rsidR="00000000" w:rsidRPr="00DE1212" w:rsidP="00DE1212">
      <w:pPr>
        <w:pStyle w:val="ListBullet2"/>
      </w:pPr>
      <w:r w:rsidRPr="00DE1212">
        <w:t>housekeeping equipment, cleaning and disinfecting products and materials, infectious waste disposal equipment</w:t>
      </w:r>
      <w:r w:rsidRPr="00DE1212">
        <w:t xml:space="preserve"> and personal protective equipment</w:t>
      </w:r>
    </w:p>
    <w:p w:rsidR="00000000" w:rsidRPr="00DE1212" w:rsidP="00DE1212">
      <w:pPr>
        <w:pStyle w:val="ListBullet2"/>
      </w:pPr>
      <w:r w:rsidRPr="00DE1212">
        <w:t xml:space="preserve">workplace policies and procedures and template documents used for the management of work health and safety/occupational health and safety practices </w:t>
      </w:r>
    </w:p>
    <w:p w:rsidR="00000000" w:rsidRPr="00DE1212" w:rsidP="00DE1212">
      <w:pPr>
        <w:pStyle w:val="ListBullet"/>
      </w:pPr>
      <w:r w:rsidRPr="00DE1212">
        <w:t xml:space="preserve">under industry operating conditions where there is: </w:t>
      </w:r>
    </w:p>
    <w:p w:rsidR="00000000" w:rsidRPr="00DE1212" w:rsidP="00DE1212">
      <w:pPr>
        <w:pStyle w:val="ListBullet2"/>
      </w:pPr>
      <w:r w:rsidRPr="00DE1212">
        <w:t xml:space="preserve">integration of tasks with possible interruptions to work typical of the job role </w:t>
      </w:r>
    </w:p>
    <w:p w:rsidR="00000000" w:rsidRPr="00DE1212" w:rsidP="00DE1212">
      <w:pPr>
        <w:pStyle w:val="ListBullet2"/>
      </w:pPr>
      <w:r w:rsidRPr="00DE1212">
        <w:t>interaction with team members</w:t>
      </w:r>
    </w:p>
    <w:p w:rsidR="00000000" w:rsidRPr="00DE1212" w:rsidP="00DE1212">
      <w:pPr>
        <w:pStyle w:val="BodyText"/>
      </w:pPr>
    </w:p>
    <w:p w:rsidR="00000000" w:rsidRPr="00DE1212" w:rsidP="00C43D3C">
      <w:pPr>
        <w:pStyle w:val="BodyText"/>
      </w:pPr>
      <w:r w:rsidRPr="00DE1212">
        <w:t>Assessors must satisfy the NVR/AQTF mandatory competency requirements for assessors.</w:t>
      </w:r>
    </w:p>
    <w:p w:rsidR="00000000" w:rsidRPr="00DE1212" w:rsidP="00DE1212">
      <w:pPr>
        <w:pStyle w:val="Heading1"/>
      </w:pPr>
      <w:bookmarkStart w:id="5" w:name="O_582081"/>
      <w:bookmarkEnd w:id="5"/>
      <w:r w:rsidRPr="00DE1212">
        <w:t>Links</w:t>
      </w:r>
    </w:p>
    <w:p w:rsidR="00000000" w:rsidRPr="00DE1212" w:rsidP="00C43D3C">
      <w:pPr>
        <w:pStyle w:val="BodyText"/>
      </w:pPr>
      <w:r w:rsidRPr="00DE1212">
        <w:t>Companion Volume implementation gui</w:t>
      </w:r>
      <w:r w:rsidRPr="00DE1212">
        <w:t xml:space="preserve">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6B2E14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DE1212" w:rsidP="00DE1212"/>
    <w:sectPr w:rsidSect="00DE12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2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212" w:rsidRPr="00C43D3C" w:rsidP="00C43D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2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D3C" w:rsidP="00DE12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3D3C" w:rsidP="00DE12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43D3C" w:rsidP="00DE12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2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D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1212" w:rsidRPr="00C43D3C" w:rsidP="00C43D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2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D3C" w:rsidRPr="002D2AF8" w:rsidP="00DE12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SIFEWHS001 Follow mortuary work health and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C43D3C" w:rsidP="00DE12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543D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4A0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DC73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2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2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2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2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2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2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2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2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2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2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2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212"/>
  </w:style>
  <w:style w:type="character" w:customStyle="1" w:styleId="Heading1Char">
    <w:name w:val="Heading 1 Char"/>
    <w:basedOn w:val="DefaultParagraphFont"/>
    <w:link w:val="Heading1"/>
    <w:rsid w:val="00DE12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2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2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12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1212"/>
    <w:rPr>
      <w:b/>
      <w:spacing w:val="0"/>
    </w:rPr>
  </w:style>
  <w:style w:type="paragraph" w:styleId="ListBullet2">
    <w:name w:val="List Bullet 2"/>
    <w:basedOn w:val="List2"/>
    <w:rsid w:val="00DE12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12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2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12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2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2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2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2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2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2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2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2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2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2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2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2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2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2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2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2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2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12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12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12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2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2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12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2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2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2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2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2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2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2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2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1212"/>
    <w:rPr>
      <w:i/>
    </w:rPr>
  </w:style>
  <w:style w:type="paragraph" w:styleId="Caption">
    <w:name w:val="caption"/>
    <w:basedOn w:val="BodyText"/>
    <w:next w:val="Normal"/>
    <w:qFormat/>
    <w:rsid w:val="00DE12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2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2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212"/>
  </w:style>
  <w:style w:type="paragraph" w:styleId="TableofFigures">
    <w:name w:val="table of figures"/>
    <w:basedOn w:val="Normal"/>
    <w:next w:val="Normal"/>
    <w:semiHidden/>
    <w:rsid w:val="00DE12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2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1212"/>
    <w:rPr>
      <w:rFonts w:ascii="Wingdings" w:hAnsi="Wingdings"/>
    </w:rPr>
  </w:style>
  <w:style w:type="paragraph" w:customStyle="1" w:styleId="TableHeading">
    <w:name w:val="Table Heading"/>
    <w:basedOn w:val="HeadingBase"/>
    <w:rsid w:val="00DE12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212"/>
    <w:rPr>
      <w:color w:val="0033CC"/>
      <w:u w:val="none"/>
    </w:rPr>
  </w:style>
  <w:style w:type="paragraph" w:customStyle="1" w:styleId="BodyTextRight">
    <w:name w:val="Body Text Right"/>
    <w:basedOn w:val="BodyText"/>
    <w:rsid w:val="00DE12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2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2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2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2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2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212"/>
    <w:rPr>
      <w:sz w:val="32"/>
    </w:rPr>
  </w:style>
  <w:style w:type="paragraph" w:customStyle="1" w:styleId="HeadingProcedure">
    <w:name w:val="Heading Procedure"/>
    <w:basedOn w:val="HeadingBase"/>
    <w:next w:val="Normal"/>
    <w:rsid w:val="00DE12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212"/>
    <w:pPr>
      <w:spacing w:before="60" w:after="60"/>
    </w:pPr>
  </w:style>
  <w:style w:type="paragraph" w:styleId="ListContinue">
    <w:name w:val="List Continue"/>
    <w:basedOn w:val="List"/>
    <w:rsid w:val="00DE1212"/>
    <w:pPr>
      <w:ind w:firstLine="0"/>
    </w:pPr>
  </w:style>
  <w:style w:type="paragraph" w:customStyle="1" w:styleId="ListNote">
    <w:name w:val="List Note"/>
    <w:basedOn w:val="List"/>
    <w:rsid w:val="00DE12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2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2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212"/>
    <w:rPr>
      <w:rFonts w:ascii="Courier New" w:hAnsi="Courier New"/>
    </w:rPr>
  </w:style>
  <w:style w:type="paragraph" w:customStyle="1" w:styleId="NoteBullet">
    <w:name w:val="Note Bullet"/>
    <w:basedOn w:val="Note"/>
    <w:rsid w:val="00DE12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2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2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2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2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12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2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212"/>
    <w:rPr>
      <w:b/>
      <w:smallCaps/>
    </w:rPr>
  </w:style>
  <w:style w:type="paragraph" w:customStyle="1" w:styleId="TableListNumber">
    <w:name w:val="Table List Number"/>
    <w:basedOn w:val="ListNumber"/>
    <w:rsid w:val="00DE12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2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212"/>
    <w:pPr>
      <w:numPr>
        <w:numId w:val="9"/>
      </w:numPr>
    </w:pPr>
  </w:style>
  <w:style w:type="paragraph" w:customStyle="1" w:styleId="ListAlpha2">
    <w:name w:val="List Alpha 2"/>
    <w:basedOn w:val="List2"/>
    <w:rsid w:val="00DE1212"/>
    <w:pPr>
      <w:numPr>
        <w:numId w:val="8"/>
      </w:numPr>
    </w:pPr>
  </w:style>
  <w:style w:type="paragraph" w:styleId="List2">
    <w:name w:val="List 2"/>
    <w:basedOn w:val="BodyText"/>
    <w:rsid w:val="00DE12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2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2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2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12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12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1212"/>
    <w:pPr>
      <w:numPr>
        <w:numId w:val="4"/>
      </w:numPr>
    </w:pPr>
  </w:style>
  <w:style w:type="paragraph" w:styleId="ListContinue2">
    <w:name w:val="List Continue 2"/>
    <w:basedOn w:val="List2"/>
    <w:rsid w:val="00DE1212"/>
    <w:pPr>
      <w:ind w:firstLine="0"/>
    </w:pPr>
  </w:style>
  <w:style w:type="paragraph" w:styleId="ListContinue3">
    <w:name w:val="List Continue 3"/>
    <w:basedOn w:val="List3"/>
    <w:rsid w:val="00DE1212"/>
    <w:pPr>
      <w:ind w:left="1021" w:firstLine="0"/>
    </w:pPr>
  </w:style>
  <w:style w:type="paragraph" w:styleId="ListContinue4">
    <w:name w:val="List Continue 4"/>
    <w:basedOn w:val="List4"/>
    <w:rsid w:val="00DE1212"/>
    <w:pPr>
      <w:ind w:firstLine="0"/>
    </w:pPr>
  </w:style>
  <w:style w:type="paragraph" w:styleId="ListContinue5">
    <w:name w:val="List Continue 5"/>
    <w:basedOn w:val="List5"/>
    <w:rsid w:val="00DE1212"/>
    <w:pPr>
      <w:ind w:firstLine="0"/>
    </w:pPr>
  </w:style>
  <w:style w:type="paragraph" w:styleId="ListNumber3">
    <w:name w:val="List Number 3"/>
    <w:basedOn w:val="List3"/>
    <w:rsid w:val="00DE1212"/>
    <w:pPr>
      <w:numPr>
        <w:numId w:val="5"/>
      </w:numPr>
    </w:pPr>
  </w:style>
  <w:style w:type="paragraph" w:styleId="ListNumber4">
    <w:name w:val="List Number 4"/>
    <w:basedOn w:val="List4"/>
    <w:rsid w:val="00DE1212"/>
    <w:pPr>
      <w:numPr>
        <w:numId w:val="6"/>
      </w:numPr>
    </w:pPr>
  </w:style>
  <w:style w:type="paragraph" w:styleId="ListNumber5">
    <w:name w:val="List Number 5"/>
    <w:basedOn w:val="List5"/>
    <w:rsid w:val="00DE1212"/>
    <w:pPr>
      <w:numPr>
        <w:numId w:val="7"/>
      </w:numPr>
    </w:pPr>
  </w:style>
  <w:style w:type="paragraph" w:styleId="BlockText">
    <w:name w:val="Block Text"/>
    <w:basedOn w:val="Normal"/>
    <w:rsid w:val="00DE12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2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212"/>
    <w:rPr>
      <w:sz w:val="16"/>
      <w:vertAlign w:val="superscript"/>
    </w:rPr>
  </w:style>
  <w:style w:type="character" w:customStyle="1" w:styleId="Symbols">
    <w:name w:val="Symbols"/>
    <w:basedOn w:val="DefaultParagraphFont"/>
    <w:rsid w:val="00DE1212"/>
    <w:rPr>
      <w:rFonts w:ascii="Symbol" w:hAnsi="Symbol"/>
    </w:rPr>
  </w:style>
  <w:style w:type="character" w:customStyle="1" w:styleId="MenuOptions">
    <w:name w:val="Menu Options"/>
    <w:basedOn w:val="DefaultParagraphFont"/>
    <w:rsid w:val="00DE12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212"/>
    <w:rPr>
      <w:b/>
    </w:rPr>
  </w:style>
  <w:style w:type="character" w:customStyle="1" w:styleId="Underlined">
    <w:name w:val="Underlined"/>
    <w:basedOn w:val="DefaultParagraphFont"/>
    <w:rsid w:val="00DE1212"/>
    <w:rPr>
      <w:u w:val="single"/>
    </w:rPr>
  </w:style>
  <w:style w:type="paragraph" w:customStyle="1" w:styleId="TableBodyTextRight">
    <w:name w:val="Table Body Text Right"/>
    <w:basedOn w:val="TableBodyText"/>
    <w:rsid w:val="00DE12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212"/>
    <w:rPr>
      <w:sz w:val="18"/>
    </w:rPr>
  </w:style>
  <w:style w:type="paragraph" w:customStyle="1" w:styleId="BodySmallRight">
    <w:name w:val="Body Small Right"/>
    <w:basedOn w:val="BodyTextRight"/>
    <w:rsid w:val="00DE1212"/>
    <w:rPr>
      <w:sz w:val="18"/>
      <w:szCs w:val="18"/>
    </w:rPr>
  </w:style>
  <w:style w:type="paragraph" w:customStyle="1" w:styleId="MarginEdition">
    <w:name w:val="Margin Edition"/>
    <w:basedOn w:val="MarginNote"/>
    <w:rsid w:val="00DE12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212"/>
    <w:rPr>
      <w:sz w:val="2"/>
      <w:szCs w:val="2"/>
    </w:rPr>
  </w:style>
  <w:style w:type="character" w:customStyle="1" w:styleId="Small">
    <w:name w:val="Small"/>
    <w:basedOn w:val="DefaultParagraphFont"/>
    <w:rsid w:val="00DE1212"/>
    <w:rPr>
      <w:sz w:val="16"/>
    </w:rPr>
  </w:style>
  <w:style w:type="paragraph" w:customStyle="1" w:styleId="WideTable">
    <w:name w:val="Wide Table"/>
    <w:basedOn w:val="Normal"/>
    <w:rsid w:val="00DE12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212"/>
  </w:style>
  <w:style w:type="paragraph" w:styleId="Quote">
    <w:name w:val="Quote"/>
    <w:basedOn w:val="Heading1"/>
    <w:link w:val="QuoteChar"/>
    <w:qFormat/>
    <w:rsid w:val="00DE12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2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212"/>
    <w:pPr>
      <w:pageBreakBefore/>
    </w:pPr>
  </w:style>
  <w:style w:type="paragraph" w:customStyle="1" w:styleId="Border">
    <w:name w:val="Border"/>
    <w:basedOn w:val="Normal"/>
    <w:qFormat/>
    <w:rsid w:val="00DE12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2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2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2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2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2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2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2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2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212"/>
    <w:rPr>
      <w:u w:val="single"/>
    </w:rPr>
  </w:style>
  <w:style w:type="character" w:customStyle="1" w:styleId="BoldandItalics">
    <w:name w:val="Bold and Italics"/>
    <w:qFormat/>
    <w:rsid w:val="00DE1212"/>
    <w:rPr>
      <w:b/>
      <w:i/>
      <w:u w:val="none"/>
    </w:rPr>
  </w:style>
  <w:style w:type="paragraph" w:styleId="BalloonText">
    <w:name w:val="Balloon Text"/>
    <w:basedOn w:val="Normal"/>
    <w:link w:val="BalloonTextChar"/>
    <w:rsid w:val="00DE12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2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2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2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2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2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1212"/>
    <w:pPr>
      <w:spacing w:before="0" w:after="0"/>
    </w:pPr>
  </w:style>
  <w:style w:type="paragraph" w:customStyle="1" w:styleId="BodyTextBold">
    <w:name w:val="Body Text Bold"/>
    <w:basedOn w:val="BodyText"/>
    <w:qFormat/>
    <w:rsid w:val="00DE1212"/>
    <w:rPr>
      <w:b/>
    </w:rPr>
  </w:style>
  <w:style w:type="character" w:styleId="Hyperlink">
    <w:name w:val="Hyperlink"/>
    <w:basedOn w:val="DefaultParagraphFont"/>
    <w:uiPriority w:val="99"/>
    <w:unhideWhenUsed/>
    <w:rsid w:val="00C43D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3706</Characters>
  <Application>Microsoft Office Word</Application>
  <DocSecurity>0</DocSecurity>
  <Lines>105</Lines>
  <Paragraphs>88</Paragraphs>
  <ScaleCrop>false</ScaleCrop>
  <Company>Author-it Software Corporation Ltd.</Company>
  <LinksUpToDate>false</LinksUpToDate>
  <CharactersWithSpaces>4175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SIFEWHS001 Follow mortuary work health and safety procedures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2022-04-04T01:33:00Z</dcterms:created>
  <dcterms:modified xsi:type="dcterms:W3CDTF">2022-04-04T01:33:00Z</dcterms:modified>
</cp:coreProperties>
</file>