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298" w:rsidP="007D1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SIFEMWK016 Treat complex ante mortem cases</w:t>
      </w:r>
      <w:r>
        <w:fldChar w:fldCharType="end"/>
      </w:r>
    </w:p>
    <w:p w:rsidR="007D1298" w:rsidP="007D1298">
      <w:pPr>
        <w:pStyle w:val="Version"/>
        <w:sectPr w:rsidSect="00A56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6D31" w:rsidP="00A56D31">
      <w:pPr>
        <w:pStyle w:val="SuperHeading"/>
      </w:pPr>
      <w:r w:rsidRPr="00A56D31">
        <w:t>SIFEMWK016 Treat complex ante mortem cases</w:t>
      </w:r>
    </w:p>
    <w:p w:rsidR="00000000" w:rsidRPr="00A56D31" w:rsidP="00A56D31">
      <w:pPr>
        <w:pStyle w:val="Heading1"/>
      </w:pPr>
      <w:bookmarkStart w:id="1" w:name="O_577955"/>
      <w:bookmarkEnd w:id="1"/>
      <w:r w:rsidRPr="00A56D31">
        <w:t>Modification History</w:t>
      </w:r>
    </w:p>
    <w:p w:rsidR="00000000" w:rsidRPr="00A56D31" w:rsidP="007D1298">
      <w:pPr>
        <w:pStyle w:val="BodyText"/>
      </w:pPr>
      <w:r w:rsidRPr="00A56D31">
        <w:t>Not applicable.</w:t>
      </w:r>
    </w:p>
    <w:p w:rsidR="00000000" w:rsidRPr="00A56D31" w:rsidP="00A56D31">
      <w:pPr>
        <w:pStyle w:val="Heading1"/>
      </w:pPr>
      <w:bookmarkStart w:id="2" w:name="O_577956"/>
      <w:bookmarkEnd w:id="2"/>
      <w:r w:rsidRPr="00A56D31">
        <w:t>Application</w:t>
      </w:r>
    </w:p>
    <w:p w:rsidR="00000000" w:rsidRPr="00A56D31" w:rsidP="007D1298">
      <w:pPr>
        <w:pStyle w:val="BodyText"/>
      </w:pPr>
      <w:r w:rsidRPr="00A56D31">
        <w:t>This unit describes the performance outcomes, skills and knowledge required to treat a variety of complex cases of ante mortem complications using radical techniques, where such action is re</w:t>
      </w:r>
      <w:r w:rsidRPr="00A56D31">
        <w:t xml:space="preserve">quired and likely to be successful, prior to a viewing of the deceased person by the family. The ante mortem cases requiring specialised embalming skills include bariatric deceased persons, deceased persons with emaciation, jaundice and oedema. It applies </w:t>
      </w:r>
      <w:r w:rsidRPr="00A56D31">
        <w:t>to embalming staff who work autonomously with a high level of responsibility and according to work health and safety, relevant legislation and workplace policies and procedures.</w:t>
      </w:r>
    </w:p>
    <w:p w:rsidR="00000000" w:rsidRPr="00A56D31" w:rsidP="007D1298">
      <w:pPr>
        <w:pStyle w:val="BodyText"/>
      </w:pPr>
      <w:r w:rsidRPr="00A56D31">
        <w:t>No licensing, legislative or certification requirements apply to this unit at</w:t>
      </w:r>
      <w:r w:rsidRPr="00A56D31">
        <w:t xml:space="preserve"> the time of publication.</w:t>
      </w:r>
    </w:p>
    <w:p w:rsidR="00000000" w:rsidRPr="00A56D31" w:rsidP="00A56D31">
      <w:pPr>
        <w:pStyle w:val="Heading1"/>
      </w:pPr>
      <w:bookmarkStart w:id="3" w:name="O_577958"/>
      <w:bookmarkEnd w:id="3"/>
      <w:r w:rsidRPr="00A56D31">
        <w:t>Competency Field</w:t>
      </w:r>
    </w:p>
    <w:p w:rsidR="00000000" w:rsidRPr="00A56D31" w:rsidP="007D1298">
      <w:pPr>
        <w:pStyle w:val="BodyText"/>
      </w:pPr>
      <w:r w:rsidRPr="00A56D31">
        <w:t>Mortuary Work and Embalming</w:t>
      </w:r>
    </w:p>
    <w:p w:rsidR="00000000" w:rsidRPr="00A56D31" w:rsidP="00A56D31">
      <w:pPr>
        <w:pStyle w:val="Heading1"/>
      </w:pPr>
      <w:bookmarkStart w:id="4" w:name="O_577959"/>
      <w:bookmarkEnd w:id="4"/>
      <w:r w:rsidRPr="00A56D31">
        <w:t>Unit Sector</w:t>
      </w:r>
    </w:p>
    <w:p w:rsidR="00000000" w:rsidRPr="00A56D31" w:rsidP="007D1298">
      <w:pPr>
        <w:pStyle w:val="BodyText"/>
      </w:pPr>
      <w:r w:rsidRPr="00A56D31">
        <w:t>Embalming</w:t>
      </w:r>
    </w:p>
    <w:p w:rsidR="00000000" w:rsidRPr="00A56D31" w:rsidP="00A56D31">
      <w:pPr>
        <w:pStyle w:val="Heading1"/>
      </w:pPr>
      <w:bookmarkStart w:id="5" w:name="O_577960"/>
      <w:bookmarkEnd w:id="5"/>
      <w:r w:rsidRPr="00A56D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91"/>
        <w:gridCol w:w="5405"/>
      </w:tblGrid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BodyText"/>
            </w:pPr>
            <w:r w:rsidRPr="00A56D3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BodyText"/>
              <w:rPr>
                <w:lang w:val="en-NZ"/>
              </w:rPr>
            </w:pPr>
            <w:r w:rsidRPr="00A56D31">
              <w:rPr>
                <w:rStyle w:val="SpecialBold"/>
              </w:rPr>
              <w:t>PERFORMANCE CRITERIA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BodyText"/>
              <w:rPr>
                <w:lang w:val="en-NZ"/>
              </w:rPr>
            </w:pPr>
            <w:r w:rsidRPr="00A56D3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BodyText"/>
              <w:rPr>
                <w:lang w:val="en-NZ"/>
              </w:rPr>
            </w:pPr>
            <w:r w:rsidRPr="00A56D31">
              <w:t>Perfo</w:t>
            </w:r>
            <w:r w:rsidRPr="00A56D31">
              <w:t xml:space="preserve">rmance criteria describe the performance needed to demonstrate achievement of the element. 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List"/>
              <w:rPr>
                <w:lang w:val="en-NZ"/>
              </w:rPr>
            </w:pPr>
            <w:r w:rsidRPr="00A56D31">
              <w:t>1.</w:t>
            </w:r>
            <w:r w:rsidRPr="00A56D31">
              <w:tab/>
              <w:t>Prepare to treat complex cases of ante mortem complications.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List"/>
            </w:pPr>
            <w:r w:rsidRPr="00A56D31">
              <w:t>1.1</w:t>
            </w:r>
            <w:r w:rsidRPr="00A56D31">
              <w:tab/>
              <w:t>Prepare and use personal protective equipment.</w:t>
            </w:r>
          </w:p>
          <w:p w:rsidR="00000000" w:rsidRPr="00A56D31" w:rsidP="00A56D31">
            <w:pPr>
              <w:pStyle w:val="List"/>
            </w:pPr>
            <w:r w:rsidRPr="00A56D31">
              <w:t>1.2</w:t>
            </w:r>
            <w:r w:rsidRPr="00A56D31">
              <w:tab/>
            </w:r>
            <w:r w:rsidRPr="00A56D31">
              <w:t>Prepare mortuary area and appropriate mortuary instruments and equipment.</w:t>
            </w:r>
          </w:p>
          <w:p w:rsidR="00000000" w:rsidRPr="00A56D31" w:rsidP="00A56D31">
            <w:pPr>
              <w:pStyle w:val="List"/>
            </w:pPr>
            <w:r w:rsidRPr="00A56D31">
              <w:t>1.3</w:t>
            </w:r>
            <w:r w:rsidRPr="00A56D31">
              <w:tab/>
              <w:t>Conduct case analysis to identify type of condition through physical examination of the deceased person.</w:t>
            </w:r>
          </w:p>
          <w:p w:rsidR="00000000" w:rsidP="00A56D31">
            <w:pPr>
              <w:pStyle w:val="List"/>
              <w:rPr>
                <w:lang w:val="en-NZ"/>
              </w:rPr>
            </w:pPr>
            <w:r w:rsidRPr="00A56D31">
              <w:t>1.4</w:t>
            </w:r>
            <w:r w:rsidRPr="00A56D31">
              <w:tab/>
              <w:t>Liaise with funeral staff and family, where appropriate, about the po</w:t>
            </w:r>
            <w:r w:rsidRPr="00A56D31">
              <w:t>ssible outcome of the treatment for viewing purposes.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List"/>
              <w:rPr>
                <w:lang w:val="en-NZ"/>
              </w:rPr>
            </w:pPr>
            <w:r w:rsidRPr="00A56D31">
              <w:t>2.</w:t>
            </w:r>
            <w:r w:rsidRPr="00A56D31">
              <w:tab/>
              <w:t xml:space="preserve">Treat bariatric deceased person.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List"/>
            </w:pPr>
            <w:r w:rsidRPr="00A56D31">
              <w:t>2.1</w:t>
            </w:r>
            <w:r w:rsidRPr="00A56D31">
              <w:tab/>
              <w:t>Determine if assistance is required to move deceased.</w:t>
            </w:r>
          </w:p>
          <w:p w:rsidR="00000000" w:rsidRPr="00A56D31" w:rsidP="00A56D31">
            <w:pPr>
              <w:pStyle w:val="List"/>
            </w:pPr>
            <w:r w:rsidRPr="00A56D31">
              <w:t>2.2</w:t>
            </w:r>
            <w:r w:rsidRPr="00A56D31">
              <w:tab/>
              <w:t>Establish best positioning for the embalming procedure.</w:t>
            </w:r>
          </w:p>
          <w:p w:rsidR="00000000" w:rsidRPr="00A56D31" w:rsidP="00A56D31">
            <w:pPr>
              <w:pStyle w:val="List"/>
            </w:pPr>
            <w:r w:rsidRPr="00A56D31">
              <w:t>2.3</w:t>
            </w:r>
            <w:r w:rsidRPr="00A56D31">
              <w:tab/>
              <w:t>Confirm appropriate primary injection site</w:t>
            </w:r>
            <w:r w:rsidRPr="00A56D31">
              <w:t>.</w:t>
            </w:r>
          </w:p>
          <w:p w:rsidR="00000000" w:rsidRPr="00A56D31" w:rsidP="00A56D31">
            <w:pPr>
              <w:pStyle w:val="List"/>
            </w:pPr>
            <w:r w:rsidRPr="00A56D31">
              <w:t>2.4</w:t>
            </w:r>
            <w:r w:rsidRPr="00A56D31">
              <w:tab/>
              <w:t>Determine specific chemicals required including strength and volume.</w:t>
            </w:r>
          </w:p>
          <w:p w:rsidR="00000000" w:rsidP="00A56D31">
            <w:pPr>
              <w:pStyle w:val="List"/>
              <w:rPr>
                <w:lang w:val="en-NZ"/>
              </w:rPr>
            </w:pPr>
            <w:r w:rsidRPr="00A56D31">
              <w:t>2.5</w:t>
            </w:r>
            <w:r w:rsidRPr="00A56D31">
              <w:tab/>
              <w:t>Recognise and manage hazards, complications and problems.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List"/>
              <w:rPr>
                <w:lang w:val="en-NZ"/>
              </w:rPr>
            </w:pPr>
            <w:r w:rsidRPr="00A56D31">
              <w:t>3.</w:t>
            </w:r>
            <w:r w:rsidRPr="00A56D31">
              <w:tab/>
              <w:t>Treat deceased persons with emaciation.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List"/>
            </w:pPr>
            <w:r w:rsidRPr="00A56D31">
              <w:t>3.1</w:t>
            </w:r>
            <w:r w:rsidRPr="00A56D31">
              <w:tab/>
              <w:t>Cleanse and disinfect the body.</w:t>
            </w:r>
          </w:p>
          <w:p w:rsidR="00000000" w:rsidRPr="00A56D31" w:rsidP="00A56D31">
            <w:pPr>
              <w:pStyle w:val="List"/>
            </w:pPr>
            <w:r w:rsidRPr="00A56D31">
              <w:t>3.2</w:t>
            </w:r>
            <w:r w:rsidRPr="00A56D31">
              <w:tab/>
              <w:t>Check skin for skin slip and durabi</w:t>
            </w:r>
            <w:r w:rsidRPr="00A56D31">
              <w:t>lity.</w:t>
            </w:r>
          </w:p>
          <w:p w:rsidR="00000000" w:rsidRPr="00A56D31" w:rsidP="00A56D31">
            <w:pPr>
              <w:pStyle w:val="List"/>
            </w:pPr>
            <w:r w:rsidRPr="00A56D31">
              <w:t>3.3</w:t>
            </w:r>
            <w:r w:rsidRPr="00A56D31">
              <w:tab/>
              <w:t>Identify extent of emaciation.</w:t>
            </w:r>
          </w:p>
          <w:p w:rsidR="00000000" w:rsidRPr="00A56D31" w:rsidP="00A56D31">
            <w:pPr>
              <w:pStyle w:val="List"/>
            </w:pPr>
            <w:r w:rsidRPr="00A56D31">
              <w:t>3.4</w:t>
            </w:r>
            <w:r w:rsidRPr="00A56D31">
              <w:tab/>
              <w:t>Confirm appropriate primary injection site.</w:t>
            </w:r>
          </w:p>
          <w:p w:rsidR="00000000" w:rsidRPr="00A56D31" w:rsidP="00A56D31">
            <w:pPr>
              <w:pStyle w:val="List"/>
            </w:pPr>
            <w:r w:rsidRPr="00A56D31">
              <w:t>3.5</w:t>
            </w:r>
            <w:r w:rsidRPr="00A56D31">
              <w:tab/>
              <w:t>Determine specific chemicals required including strength and volume.</w:t>
            </w:r>
          </w:p>
          <w:p w:rsidR="00000000" w:rsidRPr="00A56D31" w:rsidP="00A56D31">
            <w:pPr>
              <w:pStyle w:val="List"/>
            </w:pPr>
            <w:r w:rsidRPr="00A56D31">
              <w:t>3.6</w:t>
            </w:r>
            <w:r w:rsidRPr="00A56D31">
              <w:tab/>
              <w:t>Identify hypodermic injection sites for areas requiring feature building.</w:t>
            </w:r>
          </w:p>
          <w:p w:rsidR="00000000" w:rsidP="00A56D31">
            <w:pPr>
              <w:pStyle w:val="List"/>
              <w:rPr>
                <w:lang w:val="en-NZ"/>
              </w:rPr>
            </w:pPr>
            <w:r w:rsidRPr="00A56D31">
              <w:t>3.7</w:t>
            </w:r>
            <w:r w:rsidRPr="00A56D31">
              <w:tab/>
            </w:r>
            <w:r w:rsidRPr="00A56D31">
              <w:t>Recognise and manage hazards, complications and problems.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List"/>
              <w:rPr>
                <w:lang w:val="en-NZ"/>
              </w:rPr>
            </w:pPr>
            <w:r w:rsidRPr="00A56D31">
              <w:t>4.</w:t>
            </w:r>
            <w:r w:rsidRPr="00A56D31">
              <w:tab/>
              <w:t>Treat deceased persons with jaundice.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List"/>
            </w:pPr>
            <w:r w:rsidRPr="00A56D31">
              <w:t>4.1</w:t>
            </w:r>
            <w:r w:rsidRPr="00A56D31">
              <w:tab/>
              <w:t>Check whites of eyes for jaundice.</w:t>
            </w:r>
          </w:p>
          <w:p w:rsidR="00000000" w:rsidRPr="00A56D31" w:rsidP="00A56D31">
            <w:pPr>
              <w:pStyle w:val="List"/>
            </w:pPr>
            <w:r w:rsidRPr="00A56D31">
              <w:t>4.2</w:t>
            </w:r>
            <w:r w:rsidRPr="00A56D31">
              <w:tab/>
              <w:t>Cleanse and disinfect the body.</w:t>
            </w:r>
          </w:p>
          <w:p w:rsidR="00000000" w:rsidRPr="00A56D31" w:rsidP="00A56D31">
            <w:pPr>
              <w:pStyle w:val="List"/>
            </w:pPr>
            <w:r w:rsidRPr="00A56D31">
              <w:t>4.3</w:t>
            </w:r>
            <w:r w:rsidRPr="00A56D31">
              <w:tab/>
              <w:t>Check skin for skin slip and durability.</w:t>
            </w:r>
          </w:p>
          <w:p w:rsidR="00000000" w:rsidRPr="00A56D31" w:rsidP="00A56D31">
            <w:pPr>
              <w:pStyle w:val="List"/>
            </w:pPr>
            <w:r w:rsidRPr="00A56D31">
              <w:t>4.4</w:t>
            </w:r>
            <w:r w:rsidRPr="00A56D31">
              <w:tab/>
              <w:t>Identify extent of jaundice cond</w:t>
            </w:r>
            <w:r w:rsidRPr="00A56D31">
              <w:t>ition in relation to bilirubin/biliverdin conversion.</w:t>
            </w:r>
          </w:p>
          <w:p w:rsidR="00000000" w:rsidRPr="00A56D31" w:rsidP="00A56D31">
            <w:pPr>
              <w:pStyle w:val="List"/>
            </w:pPr>
            <w:r w:rsidRPr="00A56D31">
              <w:t>4.5</w:t>
            </w:r>
            <w:r w:rsidRPr="00A56D31">
              <w:tab/>
              <w:t>Confirm appropriate primary injection site.</w:t>
            </w:r>
          </w:p>
          <w:p w:rsidR="00000000" w:rsidRPr="00A56D31" w:rsidP="00A56D31">
            <w:pPr>
              <w:pStyle w:val="List"/>
            </w:pPr>
            <w:r w:rsidRPr="00A56D31">
              <w:t>4.6</w:t>
            </w:r>
            <w:r w:rsidRPr="00A56D31">
              <w:tab/>
              <w:t>Determine specific chemicals required including strength and volume.</w:t>
            </w:r>
          </w:p>
          <w:p w:rsidR="00000000" w:rsidP="00A56D31">
            <w:pPr>
              <w:pStyle w:val="List"/>
              <w:rPr>
                <w:lang w:val="en-NZ"/>
              </w:rPr>
            </w:pPr>
            <w:r w:rsidRPr="00A56D31">
              <w:t>4.7</w:t>
            </w:r>
            <w:r w:rsidRPr="00A56D31">
              <w:tab/>
              <w:t>Recognise and manage hazards, complications and problems.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List"/>
              <w:rPr>
                <w:lang w:val="en-NZ"/>
              </w:rPr>
            </w:pPr>
            <w:r w:rsidRPr="00A56D31">
              <w:t>5.</w:t>
            </w:r>
            <w:r w:rsidRPr="00A56D31">
              <w:tab/>
              <w:t xml:space="preserve">Treat deceased </w:t>
            </w:r>
            <w:r w:rsidRPr="00A56D31">
              <w:t>persons with oedema.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List"/>
            </w:pPr>
            <w:r w:rsidRPr="00A56D31">
              <w:t>5.1</w:t>
            </w:r>
            <w:r w:rsidRPr="00A56D31">
              <w:tab/>
              <w:t>Cleanse and disinfect the body.</w:t>
            </w:r>
          </w:p>
          <w:p w:rsidR="00000000" w:rsidRPr="00A56D31" w:rsidP="00A56D31">
            <w:pPr>
              <w:pStyle w:val="List"/>
            </w:pPr>
            <w:r w:rsidRPr="00A56D31">
              <w:t>5.2</w:t>
            </w:r>
            <w:r w:rsidRPr="00A56D31">
              <w:tab/>
              <w:t>Check skin for skin slip and durability.</w:t>
            </w:r>
          </w:p>
          <w:p w:rsidR="00000000" w:rsidRPr="00A56D31" w:rsidP="00A56D31">
            <w:pPr>
              <w:pStyle w:val="List"/>
            </w:pPr>
            <w:r w:rsidRPr="00A56D31">
              <w:t>5.3</w:t>
            </w:r>
            <w:r w:rsidRPr="00A56D31">
              <w:tab/>
              <w:t>Identify type, location and extent of oedema through physical examination of the deceased person’s skin.</w:t>
            </w:r>
          </w:p>
          <w:p w:rsidR="00000000" w:rsidRPr="00A56D31" w:rsidP="00A56D31">
            <w:pPr>
              <w:pStyle w:val="List"/>
            </w:pPr>
            <w:r w:rsidRPr="00A56D31">
              <w:t>5.4</w:t>
            </w:r>
            <w:r w:rsidRPr="00A56D31">
              <w:tab/>
              <w:t>Confirm appropriate primary injection sit</w:t>
            </w:r>
            <w:r w:rsidRPr="00A56D31">
              <w:t>e.</w:t>
            </w:r>
          </w:p>
          <w:p w:rsidR="00000000" w:rsidRPr="00A56D31" w:rsidP="00A56D31">
            <w:pPr>
              <w:pStyle w:val="List"/>
            </w:pPr>
            <w:r w:rsidRPr="00A56D31">
              <w:t>5.5</w:t>
            </w:r>
            <w:r w:rsidRPr="00A56D31">
              <w:tab/>
              <w:t>Determine specific chemicals required including strength and volume.</w:t>
            </w:r>
          </w:p>
          <w:p w:rsidR="00000000" w:rsidRPr="00A56D31" w:rsidP="00A56D31">
            <w:pPr>
              <w:pStyle w:val="List"/>
            </w:pPr>
            <w:r w:rsidRPr="00A56D31">
              <w:t>5.6</w:t>
            </w:r>
            <w:r w:rsidRPr="00A56D31">
              <w:tab/>
              <w:t>Use elevation or other techniques to reduce swelling.</w:t>
            </w:r>
          </w:p>
          <w:p w:rsidR="00000000" w:rsidRPr="00A56D31" w:rsidP="00A56D31">
            <w:pPr>
              <w:pStyle w:val="List"/>
            </w:pPr>
            <w:r w:rsidRPr="00A56D31">
              <w:t>5.7</w:t>
            </w:r>
            <w:r w:rsidRPr="00A56D31">
              <w:tab/>
              <w:t>Check for leakage areas.</w:t>
            </w:r>
          </w:p>
          <w:p w:rsidR="00000000" w:rsidP="00A56D31">
            <w:pPr>
              <w:pStyle w:val="List"/>
              <w:rPr>
                <w:lang w:val="en-NZ"/>
              </w:rPr>
            </w:pPr>
            <w:r w:rsidRPr="00A56D31">
              <w:t>5.8</w:t>
            </w:r>
            <w:r w:rsidRPr="00A56D31">
              <w:tab/>
              <w:t>Identify and manage hazards, complications and problems.</w:t>
            </w:r>
          </w:p>
        </w:tc>
      </w:tr>
      <w:tr w:rsidTr="007D12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6D31">
            <w:pPr>
              <w:pStyle w:val="List"/>
              <w:rPr>
                <w:lang w:val="en-NZ"/>
              </w:rPr>
            </w:pPr>
            <w:r w:rsidRPr="00A56D31">
              <w:t>6.</w:t>
            </w:r>
            <w:r w:rsidRPr="00A56D31">
              <w:tab/>
            </w:r>
            <w:r w:rsidRPr="00A56D31">
              <w:t>Complete documentation and clean instruments,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6D31" w:rsidP="00A56D31">
            <w:pPr>
              <w:pStyle w:val="List"/>
            </w:pPr>
            <w:r w:rsidRPr="00A56D31">
              <w:t>6.1</w:t>
            </w:r>
            <w:r w:rsidRPr="00A56D31">
              <w:tab/>
              <w:t>Complete case analysis report including reference to any complications that occurred during treatment and corrective actions taken.</w:t>
            </w:r>
          </w:p>
          <w:p w:rsidR="00000000" w:rsidRPr="00A56D31" w:rsidP="00A56D31">
            <w:pPr>
              <w:pStyle w:val="List"/>
            </w:pPr>
            <w:r w:rsidRPr="00A56D31">
              <w:t>6.2</w:t>
            </w:r>
            <w:r w:rsidRPr="00A56D31">
              <w:tab/>
              <w:t>Clean, disinfect or sterilise instruments</w:t>
            </w:r>
            <w:r w:rsidRPr="00A56D31">
              <w:t xml:space="preserve"> and equipment.</w:t>
            </w:r>
          </w:p>
          <w:p w:rsidR="00000000" w:rsidRPr="00A56D31" w:rsidP="00A56D31">
            <w:pPr>
              <w:pStyle w:val="List"/>
            </w:pPr>
            <w:r w:rsidRPr="00A56D31">
              <w:t>6.3</w:t>
            </w:r>
            <w:r w:rsidRPr="00A56D31">
              <w:tab/>
              <w:t>Dispose of waste materials as appropriate.</w:t>
            </w:r>
          </w:p>
          <w:p w:rsidR="00000000" w:rsidRPr="00A56D31" w:rsidP="00A56D31">
            <w:pPr>
              <w:pStyle w:val="List"/>
            </w:pPr>
            <w:r w:rsidRPr="00A56D31">
              <w:t>6.4</w:t>
            </w:r>
            <w:r w:rsidRPr="00A56D31">
              <w:tab/>
              <w:t>Store instruments and equipment and report faults.</w:t>
            </w:r>
          </w:p>
          <w:p w:rsidR="00000000" w:rsidRPr="00A56D31" w:rsidP="00A56D31">
            <w:pPr>
              <w:pStyle w:val="List"/>
            </w:pPr>
            <w:r w:rsidRPr="00A56D31">
              <w:t>6.5</w:t>
            </w:r>
            <w:r w:rsidRPr="00A56D31">
              <w:tab/>
              <w:t>Clean and disinfect mortuary area.</w:t>
            </w:r>
          </w:p>
        </w:tc>
      </w:tr>
    </w:tbl>
    <w:p w:rsidR="00000000" w:rsidRPr="00A56D31" w:rsidP="00A56D31">
      <w:pPr>
        <w:pStyle w:val="BodyText"/>
      </w:pPr>
    </w:p>
    <w:p w:rsidR="00000000" w:rsidRPr="00A56D31" w:rsidP="00A56D31">
      <w:pPr>
        <w:pStyle w:val="AllowPageBreak"/>
      </w:pPr>
    </w:p>
    <w:p w:rsidR="00000000" w:rsidRPr="00A56D31" w:rsidP="00A56D31">
      <w:pPr>
        <w:pStyle w:val="Heading1"/>
      </w:pPr>
      <w:bookmarkStart w:id="6" w:name="O_577961"/>
      <w:bookmarkEnd w:id="6"/>
      <w:r w:rsidRPr="00A56D31">
        <w:t>Foundation Skills</w:t>
      </w:r>
    </w:p>
    <w:p w:rsidR="00000000" w:rsidRPr="00A56D31" w:rsidP="007D1298">
      <w:pPr>
        <w:pStyle w:val="BodyText"/>
      </w:pPr>
      <w:r w:rsidRPr="00A56D31">
        <w:t xml:space="preserve">This section describes those language, literacy, numeracy and </w:t>
      </w:r>
      <w:r w:rsidRPr="00A56D31">
        <w:t>employment skills that are essential to performance.</w:t>
      </w:r>
    </w:p>
    <w:p w:rsidR="00000000" w:rsidRPr="00A56D31" w:rsidP="007D1298">
      <w:pPr>
        <w:pStyle w:val="BodyText"/>
      </w:pPr>
      <w:r w:rsidRPr="00A56D31">
        <w:t>Foundation skills essential to performance in this unit, but not explicit in the performance criteria are listed below:</w:t>
      </w:r>
    </w:p>
    <w:p w:rsidR="00000000" w:rsidRPr="00A56D31" w:rsidP="00A56D31">
      <w:pPr>
        <w:pStyle w:val="ListBullet"/>
      </w:pPr>
      <w:r w:rsidRPr="00A56D31">
        <w:t xml:space="preserve">Learning skills to identify and assess a variety of complex cases of ante mortem </w:t>
      </w:r>
      <w:r w:rsidRPr="00A56D31">
        <w:t>complications.</w:t>
      </w:r>
    </w:p>
    <w:p w:rsidR="00000000" w:rsidRPr="00A56D31" w:rsidP="00A56D31">
      <w:pPr>
        <w:pStyle w:val="ListBullet"/>
      </w:pPr>
      <w:r w:rsidRPr="00A56D31">
        <w:t>Reading skills to interpret work health and safety and infection control legislation.</w:t>
      </w:r>
    </w:p>
    <w:p w:rsidR="00000000" w:rsidRPr="00A56D31" w:rsidP="00A56D31">
      <w:pPr>
        <w:pStyle w:val="ListBullet"/>
      </w:pPr>
      <w:r w:rsidRPr="00A56D31">
        <w:t>Numeracy skills to calculate ratio for disinfecting instruments and equipment.</w:t>
      </w:r>
    </w:p>
    <w:p w:rsidR="00000000" w:rsidRPr="00A56D31" w:rsidP="00A56D31">
      <w:pPr>
        <w:pStyle w:val="AllowPageBreak"/>
      </w:pPr>
    </w:p>
    <w:p w:rsidR="00000000" w:rsidRPr="00A56D31" w:rsidP="00A56D31">
      <w:pPr>
        <w:pStyle w:val="Heading1"/>
      </w:pPr>
      <w:bookmarkStart w:id="7" w:name="O_577963"/>
      <w:bookmarkEnd w:id="7"/>
      <w:r w:rsidRPr="00A56D31">
        <w:t>Unit Mapping Information</w:t>
      </w:r>
    </w:p>
    <w:p w:rsidR="00000000" w:rsidRPr="00A56D31" w:rsidP="007D1298">
      <w:pPr>
        <w:pStyle w:val="BodyText"/>
      </w:pPr>
      <w:r w:rsidRPr="00A56D31">
        <w:t>No equivalent unit.</w:t>
      </w:r>
    </w:p>
    <w:p w:rsidR="00000000" w:rsidRPr="00A56D31" w:rsidP="00A56D31">
      <w:pPr>
        <w:pStyle w:val="Heading1"/>
      </w:pPr>
      <w:bookmarkStart w:id="8" w:name="O_577971"/>
      <w:bookmarkEnd w:id="8"/>
      <w:r w:rsidRPr="00A56D31">
        <w:t>Links</w:t>
      </w:r>
    </w:p>
    <w:p w:rsidR="00000000" w:rsidRPr="00A56D31" w:rsidP="007D1298">
      <w:pPr>
        <w:pStyle w:val="BodyText"/>
      </w:pPr>
      <w:r w:rsidRPr="00A56D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D740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A56D31" w:rsidP="00A56D31"/>
    <w:sectPr w:rsidSect="00A56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31" w:rsidRPr="007D1298" w:rsidP="007D1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98" w:rsidP="00A56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1298" w:rsidP="00A56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D1298" w:rsidP="00A56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6D31" w:rsidRPr="007D1298" w:rsidP="007D1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98" w:rsidRPr="002D2AF8" w:rsidP="00A56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SIFEMWK016 Treat complex ante mortem cases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7D1298" w:rsidP="00A56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1C81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B47A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6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6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6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6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6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6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6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6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6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6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6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6D31"/>
  </w:style>
  <w:style w:type="character" w:customStyle="1" w:styleId="Heading1Char">
    <w:name w:val="Heading 1 Char"/>
    <w:basedOn w:val="DefaultParagraphFont"/>
    <w:link w:val="Heading1"/>
    <w:rsid w:val="00A56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6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6D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6D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6D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6D31"/>
    <w:rPr>
      <w:b/>
      <w:spacing w:val="0"/>
    </w:rPr>
  </w:style>
  <w:style w:type="paragraph" w:customStyle="1" w:styleId="SuperHeading">
    <w:name w:val="SuperHeading"/>
    <w:basedOn w:val="Normal"/>
    <w:rsid w:val="00A56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6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6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6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6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6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6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6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6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6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6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6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6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6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6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6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6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6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6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6D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56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6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6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6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6D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6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6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6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6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6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6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6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6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6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6D31"/>
    <w:rPr>
      <w:i/>
    </w:rPr>
  </w:style>
  <w:style w:type="paragraph" w:styleId="Caption">
    <w:name w:val="caption"/>
    <w:basedOn w:val="BodyText"/>
    <w:next w:val="Normal"/>
    <w:qFormat/>
    <w:rsid w:val="00A56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6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6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6D31"/>
  </w:style>
  <w:style w:type="paragraph" w:styleId="TableofFigures">
    <w:name w:val="table of figures"/>
    <w:basedOn w:val="Normal"/>
    <w:next w:val="Normal"/>
    <w:semiHidden/>
    <w:rsid w:val="00A56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6D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6D31"/>
    <w:rPr>
      <w:rFonts w:ascii="Wingdings" w:hAnsi="Wingdings"/>
    </w:rPr>
  </w:style>
  <w:style w:type="paragraph" w:customStyle="1" w:styleId="TableHeading">
    <w:name w:val="Table Heading"/>
    <w:basedOn w:val="HeadingBase"/>
    <w:rsid w:val="00A56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6D31"/>
    <w:rPr>
      <w:color w:val="0033CC"/>
      <w:u w:val="none"/>
    </w:rPr>
  </w:style>
  <w:style w:type="paragraph" w:customStyle="1" w:styleId="BodyTextRight">
    <w:name w:val="Body Text Right"/>
    <w:basedOn w:val="BodyText"/>
    <w:rsid w:val="00A56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6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6D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6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6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6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6D31"/>
    <w:rPr>
      <w:sz w:val="32"/>
    </w:rPr>
  </w:style>
  <w:style w:type="paragraph" w:customStyle="1" w:styleId="HeadingProcedure">
    <w:name w:val="Heading Procedure"/>
    <w:basedOn w:val="HeadingBase"/>
    <w:next w:val="Normal"/>
    <w:rsid w:val="00A56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6D31"/>
    <w:pPr>
      <w:spacing w:before="60" w:after="60"/>
    </w:pPr>
  </w:style>
  <w:style w:type="paragraph" w:styleId="ListContinue">
    <w:name w:val="List Continue"/>
    <w:basedOn w:val="List"/>
    <w:rsid w:val="00A56D31"/>
    <w:pPr>
      <w:ind w:firstLine="0"/>
    </w:pPr>
  </w:style>
  <w:style w:type="paragraph" w:customStyle="1" w:styleId="ListNote">
    <w:name w:val="List Note"/>
    <w:basedOn w:val="List"/>
    <w:rsid w:val="00A56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6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6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6D31"/>
    <w:rPr>
      <w:rFonts w:ascii="Courier New" w:hAnsi="Courier New"/>
    </w:rPr>
  </w:style>
  <w:style w:type="paragraph" w:customStyle="1" w:styleId="NoteBullet">
    <w:name w:val="Note Bullet"/>
    <w:basedOn w:val="Note"/>
    <w:rsid w:val="00A56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6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6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6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6D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6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6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6D31"/>
    <w:rPr>
      <w:b/>
      <w:smallCaps/>
    </w:rPr>
  </w:style>
  <w:style w:type="paragraph" w:customStyle="1" w:styleId="TableListNumber">
    <w:name w:val="Table List Number"/>
    <w:basedOn w:val="ListNumber"/>
    <w:rsid w:val="00A56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6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6D31"/>
    <w:pPr>
      <w:numPr>
        <w:numId w:val="8"/>
      </w:numPr>
    </w:pPr>
  </w:style>
  <w:style w:type="paragraph" w:customStyle="1" w:styleId="ListAlpha2">
    <w:name w:val="List Alpha 2"/>
    <w:basedOn w:val="List2"/>
    <w:rsid w:val="00A56D31"/>
    <w:pPr>
      <w:numPr>
        <w:numId w:val="7"/>
      </w:numPr>
    </w:pPr>
  </w:style>
  <w:style w:type="paragraph" w:styleId="List2">
    <w:name w:val="List 2"/>
    <w:basedOn w:val="BodyText"/>
    <w:rsid w:val="00A56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6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6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6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6D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6D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6D31"/>
    <w:pPr>
      <w:numPr>
        <w:numId w:val="3"/>
      </w:numPr>
    </w:pPr>
  </w:style>
  <w:style w:type="paragraph" w:styleId="ListContinue2">
    <w:name w:val="List Continue 2"/>
    <w:basedOn w:val="List2"/>
    <w:rsid w:val="00A56D31"/>
    <w:pPr>
      <w:ind w:firstLine="0"/>
    </w:pPr>
  </w:style>
  <w:style w:type="paragraph" w:styleId="ListContinue3">
    <w:name w:val="List Continue 3"/>
    <w:basedOn w:val="List3"/>
    <w:rsid w:val="00A56D31"/>
    <w:pPr>
      <w:ind w:left="1021" w:firstLine="0"/>
    </w:pPr>
  </w:style>
  <w:style w:type="paragraph" w:styleId="ListContinue4">
    <w:name w:val="List Continue 4"/>
    <w:basedOn w:val="List4"/>
    <w:rsid w:val="00A56D31"/>
    <w:pPr>
      <w:ind w:firstLine="0"/>
    </w:pPr>
  </w:style>
  <w:style w:type="paragraph" w:styleId="ListContinue5">
    <w:name w:val="List Continue 5"/>
    <w:basedOn w:val="List5"/>
    <w:rsid w:val="00A56D31"/>
    <w:pPr>
      <w:ind w:firstLine="0"/>
    </w:pPr>
  </w:style>
  <w:style w:type="paragraph" w:styleId="ListNumber3">
    <w:name w:val="List Number 3"/>
    <w:basedOn w:val="List3"/>
    <w:rsid w:val="00A56D31"/>
    <w:pPr>
      <w:numPr>
        <w:numId w:val="4"/>
      </w:numPr>
    </w:pPr>
  </w:style>
  <w:style w:type="paragraph" w:styleId="ListNumber4">
    <w:name w:val="List Number 4"/>
    <w:basedOn w:val="List4"/>
    <w:rsid w:val="00A56D31"/>
    <w:pPr>
      <w:numPr>
        <w:numId w:val="5"/>
      </w:numPr>
    </w:pPr>
  </w:style>
  <w:style w:type="paragraph" w:styleId="ListNumber5">
    <w:name w:val="List Number 5"/>
    <w:basedOn w:val="List5"/>
    <w:rsid w:val="00A56D31"/>
    <w:pPr>
      <w:numPr>
        <w:numId w:val="6"/>
      </w:numPr>
    </w:pPr>
  </w:style>
  <w:style w:type="paragraph" w:styleId="BlockText">
    <w:name w:val="Block Text"/>
    <w:basedOn w:val="Normal"/>
    <w:rsid w:val="00A56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6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6D31"/>
    <w:rPr>
      <w:sz w:val="16"/>
      <w:vertAlign w:val="superscript"/>
    </w:rPr>
  </w:style>
  <w:style w:type="character" w:customStyle="1" w:styleId="Symbols">
    <w:name w:val="Symbols"/>
    <w:basedOn w:val="DefaultParagraphFont"/>
    <w:rsid w:val="00A56D31"/>
    <w:rPr>
      <w:rFonts w:ascii="Symbol" w:hAnsi="Symbol"/>
    </w:rPr>
  </w:style>
  <w:style w:type="character" w:customStyle="1" w:styleId="MenuOptions">
    <w:name w:val="Menu Options"/>
    <w:basedOn w:val="DefaultParagraphFont"/>
    <w:rsid w:val="00A56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6D31"/>
    <w:rPr>
      <w:b/>
    </w:rPr>
  </w:style>
  <w:style w:type="character" w:customStyle="1" w:styleId="Underlined">
    <w:name w:val="Underlined"/>
    <w:basedOn w:val="DefaultParagraphFont"/>
    <w:rsid w:val="00A56D31"/>
    <w:rPr>
      <w:u w:val="single"/>
    </w:rPr>
  </w:style>
  <w:style w:type="paragraph" w:customStyle="1" w:styleId="TableBodyTextRight">
    <w:name w:val="Table Body Text Right"/>
    <w:basedOn w:val="TableBodyText"/>
    <w:rsid w:val="00A56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6D31"/>
    <w:rPr>
      <w:sz w:val="18"/>
    </w:rPr>
  </w:style>
  <w:style w:type="paragraph" w:customStyle="1" w:styleId="BodySmallRight">
    <w:name w:val="Body Small Right"/>
    <w:basedOn w:val="BodyTextRight"/>
    <w:rsid w:val="00A56D31"/>
    <w:rPr>
      <w:sz w:val="18"/>
      <w:szCs w:val="18"/>
    </w:rPr>
  </w:style>
  <w:style w:type="paragraph" w:customStyle="1" w:styleId="MarginEdition">
    <w:name w:val="Margin Edition"/>
    <w:basedOn w:val="MarginNote"/>
    <w:rsid w:val="00A56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6D31"/>
    <w:rPr>
      <w:sz w:val="2"/>
      <w:szCs w:val="2"/>
    </w:rPr>
  </w:style>
  <w:style w:type="character" w:customStyle="1" w:styleId="Small">
    <w:name w:val="Small"/>
    <w:basedOn w:val="DefaultParagraphFont"/>
    <w:rsid w:val="00A56D31"/>
    <w:rPr>
      <w:sz w:val="16"/>
    </w:rPr>
  </w:style>
  <w:style w:type="paragraph" w:customStyle="1" w:styleId="WideTable">
    <w:name w:val="Wide Table"/>
    <w:basedOn w:val="Normal"/>
    <w:rsid w:val="00A56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6D31"/>
  </w:style>
  <w:style w:type="paragraph" w:styleId="Quote">
    <w:name w:val="Quote"/>
    <w:basedOn w:val="Heading1"/>
    <w:link w:val="QuoteChar"/>
    <w:qFormat/>
    <w:rsid w:val="00A56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6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6D31"/>
    <w:pPr>
      <w:pageBreakBefore/>
    </w:pPr>
  </w:style>
  <w:style w:type="paragraph" w:customStyle="1" w:styleId="Border">
    <w:name w:val="Border"/>
    <w:basedOn w:val="Normal"/>
    <w:qFormat/>
    <w:rsid w:val="00A56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6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6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6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6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6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6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6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6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6D31"/>
    <w:rPr>
      <w:u w:val="single"/>
    </w:rPr>
  </w:style>
  <w:style w:type="character" w:customStyle="1" w:styleId="BoldandItalics">
    <w:name w:val="Bold and Italics"/>
    <w:qFormat/>
    <w:rsid w:val="00A56D31"/>
    <w:rPr>
      <w:b/>
      <w:i/>
      <w:u w:val="none"/>
    </w:rPr>
  </w:style>
  <w:style w:type="paragraph" w:styleId="BalloonText">
    <w:name w:val="Balloon Text"/>
    <w:basedOn w:val="Normal"/>
    <w:link w:val="BalloonTextChar"/>
    <w:rsid w:val="00A56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6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6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6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6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6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6D31"/>
    <w:pPr>
      <w:spacing w:before="0" w:after="0"/>
    </w:pPr>
  </w:style>
  <w:style w:type="paragraph" w:customStyle="1" w:styleId="BodyTextBold">
    <w:name w:val="Body Text Bold"/>
    <w:basedOn w:val="BodyText"/>
    <w:qFormat/>
    <w:rsid w:val="00A56D31"/>
    <w:rPr>
      <w:b/>
    </w:rPr>
  </w:style>
  <w:style w:type="character" w:styleId="Hyperlink">
    <w:name w:val="Hyperlink"/>
    <w:basedOn w:val="DefaultParagraphFont"/>
    <w:uiPriority w:val="99"/>
    <w:unhideWhenUsed/>
    <w:rsid w:val="007D1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3942</Characters>
  <Application>Microsoft Office Word</Application>
  <DocSecurity>0</DocSecurity>
  <Lines>119</Lines>
  <Paragraphs>83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SIFEMWK016 Treat complex ante mortem cases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2022-04-04T01:30:00Z</dcterms:created>
  <dcterms:modified xsi:type="dcterms:W3CDTF">2022-04-04T01:30:00Z</dcterms:modified>
</cp:coreProperties>
</file>