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584" w:rsidP="00047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SIFEMWK016 Treat complex ante mortem cases</w:t>
      </w:r>
      <w:r>
        <w:fldChar w:fldCharType="end"/>
      </w:r>
    </w:p>
    <w:p w:rsidR="00047584" w:rsidP="00047584">
      <w:pPr>
        <w:pStyle w:val="Version"/>
        <w:sectPr w:rsidSect="00B41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460" w:rsidP="00B41460">
      <w:pPr>
        <w:pStyle w:val="SuperHeading"/>
      </w:pPr>
      <w:r w:rsidRPr="00B41460">
        <w:t>Assessment Requirements for SIFEMWK016 Treat complex ante mortem cases</w:t>
      </w:r>
    </w:p>
    <w:p w:rsidR="00000000" w:rsidRPr="00B41460" w:rsidP="00B41460">
      <w:pPr>
        <w:pStyle w:val="Heading1"/>
      </w:pPr>
      <w:bookmarkStart w:id="1" w:name="O_577965"/>
      <w:bookmarkEnd w:id="1"/>
      <w:r w:rsidRPr="00B41460">
        <w:t>Modification History</w:t>
      </w:r>
    </w:p>
    <w:p w:rsidR="00000000" w:rsidRPr="00B41460" w:rsidP="00047584">
      <w:pPr>
        <w:pStyle w:val="BodyText"/>
      </w:pPr>
      <w:r w:rsidRPr="00B41460">
        <w:t>Not applicable.</w:t>
      </w:r>
    </w:p>
    <w:p w:rsidR="00000000" w:rsidRPr="00B41460" w:rsidP="00B41460">
      <w:pPr>
        <w:pStyle w:val="Heading1"/>
      </w:pPr>
      <w:bookmarkStart w:id="2" w:name="O_577966"/>
      <w:bookmarkEnd w:id="2"/>
      <w:r w:rsidRPr="00B41460">
        <w:t>Performance Evidence</w:t>
      </w:r>
    </w:p>
    <w:p w:rsidR="00000000" w:rsidRPr="00B41460" w:rsidP="00047584">
      <w:pPr>
        <w:pStyle w:val="BodyText"/>
      </w:pPr>
      <w:r w:rsidRPr="00B41460">
        <w:t>Evidence of the ability to:</w:t>
      </w:r>
    </w:p>
    <w:p w:rsidR="00000000" w:rsidRPr="00B41460" w:rsidP="00B41460">
      <w:pPr>
        <w:pStyle w:val="ListBullet"/>
      </w:pPr>
      <w:r w:rsidRPr="00B41460">
        <w:t>identify treatment requirements through a pre-embalming case analysis and treat complex cases of ante mortem complications using correct techniques and following work health and safety/occupational health and safety and infection control practices</w:t>
      </w:r>
    </w:p>
    <w:p w:rsidR="00000000" w:rsidRPr="00B41460" w:rsidP="00B41460">
      <w:pPr>
        <w:pStyle w:val="ListBullet"/>
      </w:pPr>
      <w:r w:rsidRPr="00B41460">
        <w:t xml:space="preserve">prepare </w:t>
      </w:r>
      <w:r w:rsidRPr="00B41460">
        <w:t xml:space="preserve">mortuary area and select and use the required instruments and equipment </w:t>
      </w:r>
    </w:p>
    <w:p w:rsidR="00000000" w:rsidRPr="00B41460" w:rsidP="00B41460">
      <w:pPr>
        <w:pStyle w:val="ListBullet"/>
      </w:pPr>
      <w:r w:rsidRPr="00B41460">
        <w:t>clean, disinfect and sterilise the mortuary area, instruments and equipment at conclusion of the treatment</w:t>
      </w:r>
    </w:p>
    <w:p w:rsidR="00000000" w:rsidRPr="00B41460" w:rsidP="00B41460">
      <w:pPr>
        <w:pStyle w:val="ListBullet"/>
      </w:pPr>
      <w:r w:rsidRPr="00B41460">
        <w:t>complete the case analysis report.</w:t>
      </w:r>
    </w:p>
    <w:p w:rsidR="00000000" w:rsidRPr="00B41460" w:rsidP="00B41460">
      <w:pPr>
        <w:pStyle w:val="BodyText"/>
      </w:pPr>
    </w:p>
    <w:p w:rsidR="00000000" w:rsidRPr="00B41460" w:rsidP="00047584">
      <w:pPr>
        <w:pStyle w:val="BodyText"/>
      </w:pPr>
      <w:r w:rsidRPr="00B41460">
        <w:t xml:space="preserve">Evidence of performance of treating two </w:t>
      </w:r>
      <w:r w:rsidRPr="00B41460">
        <w:t>or more complex ante mortem cases is required to demonstrate consistency of performance and ability to respond to different situations.</w:t>
      </w:r>
    </w:p>
    <w:p w:rsidR="00000000" w:rsidRPr="00B41460" w:rsidP="00B41460">
      <w:pPr>
        <w:pStyle w:val="Heading1"/>
      </w:pPr>
      <w:bookmarkStart w:id="3" w:name="O_577967"/>
      <w:bookmarkEnd w:id="3"/>
      <w:r w:rsidRPr="00B41460">
        <w:t>Knowledge Evidence</w:t>
      </w:r>
    </w:p>
    <w:p w:rsidR="00000000" w:rsidRPr="00B41460" w:rsidP="00047584">
      <w:pPr>
        <w:pStyle w:val="BodyText"/>
      </w:pPr>
      <w:r w:rsidRPr="00B41460">
        <w:t>Demonstrated knowledge of:</w:t>
      </w:r>
    </w:p>
    <w:p w:rsidR="00000000" w:rsidRPr="00B41460" w:rsidP="00B41460">
      <w:pPr>
        <w:pStyle w:val="ListBullet"/>
      </w:pPr>
      <w:r w:rsidRPr="00B41460">
        <w:t xml:space="preserve">requirements for preparing the mortuary facility </w:t>
      </w:r>
    </w:p>
    <w:p w:rsidR="00000000" w:rsidRPr="00B41460" w:rsidP="00B41460">
      <w:pPr>
        <w:pStyle w:val="ListBullet"/>
      </w:pPr>
      <w:r w:rsidRPr="00B41460">
        <w:t>mortua</w:t>
      </w:r>
      <w:r w:rsidRPr="00B41460">
        <w:t>ry equipment, instruments and materials and associated uses</w:t>
      </w:r>
    </w:p>
    <w:p w:rsidR="00000000" w:rsidRPr="00B41460" w:rsidP="00B41460">
      <w:pPr>
        <w:pStyle w:val="ListBullet"/>
      </w:pPr>
      <w:r w:rsidRPr="00B41460">
        <w:t>cause and effect of people who have died of infectious and other diseases or complications and the embalming implications of these conditions</w:t>
      </w:r>
    </w:p>
    <w:p w:rsidR="00000000" w:rsidRPr="00B41460" w:rsidP="00B41460">
      <w:pPr>
        <w:pStyle w:val="ListBullet"/>
      </w:pPr>
      <w:r w:rsidRPr="00B41460">
        <w:t xml:space="preserve">specific body examination techniques for oedema </w:t>
      </w:r>
    </w:p>
    <w:p w:rsidR="00000000" w:rsidRPr="00B41460" w:rsidP="00B41460">
      <w:pPr>
        <w:pStyle w:val="ListBullet"/>
      </w:pPr>
      <w:r w:rsidRPr="00B41460">
        <w:t xml:space="preserve">case </w:t>
      </w:r>
      <w:r w:rsidRPr="00B41460">
        <w:t>specific chemicals, strengths and volume</w:t>
      </w:r>
    </w:p>
    <w:p w:rsidR="00000000" w:rsidRPr="00B41460" w:rsidP="00B41460">
      <w:pPr>
        <w:pStyle w:val="ListBullet"/>
      </w:pPr>
      <w:r w:rsidRPr="00B41460">
        <w:t>properties of cauterising agents</w:t>
      </w:r>
    </w:p>
    <w:p w:rsidR="00000000" w:rsidRPr="00B41460" w:rsidP="00B41460">
      <w:pPr>
        <w:pStyle w:val="ListBullet"/>
      </w:pPr>
      <w:r w:rsidRPr="00B41460">
        <w:t>anatomical and linear guides for selected arteries raised</w:t>
      </w:r>
    </w:p>
    <w:p w:rsidR="00000000" w:rsidRPr="00B41460" w:rsidP="00B41460">
      <w:pPr>
        <w:pStyle w:val="ListBullet"/>
      </w:pPr>
      <w:r w:rsidRPr="00B41460">
        <w:t>hypodermic insertion procedures for emaciated cases</w:t>
      </w:r>
    </w:p>
    <w:p w:rsidR="00000000" w:rsidRPr="00B41460" w:rsidP="00B41460">
      <w:pPr>
        <w:pStyle w:val="ListBullet"/>
      </w:pPr>
      <w:r w:rsidRPr="00B41460">
        <w:t>hazards, complications and problems tha</w:t>
      </w:r>
      <w:r w:rsidRPr="00B41460">
        <w:t>t may be associated with treating complex cases of ante mortem complications, including but not restricted to:</w:t>
      </w:r>
    </w:p>
    <w:p w:rsidR="00000000" w:rsidRPr="00B41460" w:rsidP="00B41460">
      <w:pPr>
        <w:pStyle w:val="ListBullet2"/>
      </w:pPr>
      <w:r w:rsidRPr="00B41460">
        <w:t>sharps injuries</w:t>
      </w:r>
    </w:p>
    <w:p w:rsidR="00000000" w:rsidRPr="00B41460" w:rsidP="00B41460">
      <w:pPr>
        <w:pStyle w:val="ListBullet2"/>
      </w:pPr>
      <w:r w:rsidRPr="00B41460">
        <w:t>needle stick injuries</w:t>
      </w:r>
    </w:p>
    <w:p w:rsidR="00000000" w:rsidRPr="00B41460" w:rsidP="00B41460">
      <w:pPr>
        <w:pStyle w:val="ListBullet2"/>
      </w:pPr>
      <w:r w:rsidRPr="00B41460">
        <w:t>blood splash</w:t>
      </w:r>
    </w:p>
    <w:p w:rsidR="00000000" w:rsidRPr="00B41460" w:rsidP="00B41460">
      <w:pPr>
        <w:pStyle w:val="ListBullet2"/>
      </w:pPr>
      <w:r w:rsidRPr="00B41460">
        <w:t>infection</w:t>
      </w:r>
    </w:p>
    <w:p w:rsidR="00000000" w:rsidRPr="00B41460" w:rsidP="00B41460">
      <w:pPr>
        <w:pStyle w:val="ListBullet2"/>
      </w:pPr>
      <w:r w:rsidRPr="00B41460">
        <w:t>chemical spill</w:t>
      </w:r>
    </w:p>
    <w:p w:rsidR="00000000" w:rsidRPr="00B41460" w:rsidP="00B41460">
      <w:pPr>
        <w:pStyle w:val="ListBullet2"/>
      </w:pPr>
      <w:r w:rsidRPr="00B41460">
        <w:t>wet area</w:t>
      </w:r>
    </w:p>
    <w:p w:rsidR="00000000" w:rsidRPr="00B41460" w:rsidP="00B41460">
      <w:pPr>
        <w:pStyle w:val="ListBullet"/>
      </w:pPr>
      <w:r w:rsidRPr="00B41460">
        <w:t>application of standard precautions, including</w:t>
      </w:r>
    </w:p>
    <w:p w:rsidR="00000000" w:rsidRPr="00B41460" w:rsidP="00B41460">
      <w:pPr>
        <w:pStyle w:val="ListBullet2"/>
      </w:pPr>
      <w:r w:rsidRPr="00B41460">
        <w:t>use of per</w:t>
      </w:r>
      <w:r w:rsidRPr="00B41460">
        <w:t>sonal protective equipment</w:t>
      </w:r>
    </w:p>
    <w:p w:rsidR="00000000" w:rsidRPr="00B41460" w:rsidP="00B41460">
      <w:pPr>
        <w:pStyle w:val="ListBullet2"/>
      </w:pPr>
      <w:r w:rsidRPr="00B41460">
        <w:t>presumption that all blood and body fluids are infectious</w:t>
      </w:r>
    </w:p>
    <w:p w:rsidR="00000000" w:rsidRPr="00B41460" w:rsidP="00B41460">
      <w:pPr>
        <w:pStyle w:val="ListBullet2"/>
      </w:pPr>
      <w:r w:rsidRPr="00B41460">
        <w:t>covering exposed cuts and abrasions, particularly on workers’ hands, with waterproof coverings prior to commencement of work</w:t>
      </w:r>
    </w:p>
    <w:p w:rsidR="00000000" w:rsidRPr="00B41460" w:rsidP="00B41460">
      <w:pPr>
        <w:pStyle w:val="ListBullet2"/>
      </w:pPr>
      <w:r w:rsidRPr="00B41460">
        <w:t>immediate treatment of puncture wounds or abra</w:t>
      </w:r>
      <w:r w:rsidRPr="00B41460">
        <w:t>sions</w:t>
      </w:r>
    </w:p>
    <w:p w:rsidR="00000000" w:rsidRPr="00B41460" w:rsidP="00B41460">
      <w:pPr>
        <w:pStyle w:val="ListBullet"/>
      </w:pPr>
      <w:r w:rsidRPr="00B41460">
        <w:t>funeral services industry parameters and protocols for dealing with the deceased, including social, cultural and religious considerations</w:t>
      </w:r>
    </w:p>
    <w:p w:rsidR="00000000" w:rsidRPr="00B41460" w:rsidP="00B41460">
      <w:pPr>
        <w:pStyle w:val="ListBullet"/>
      </w:pPr>
      <w:r w:rsidRPr="00B41460">
        <w:t>federal, state or territory, and local government legislation and regulations in relevant to work health and sa</w:t>
      </w:r>
      <w:r w:rsidRPr="00B41460">
        <w:t>fety/occupational health and safety, infection control and handling human remains</w:t>
      </w:r>
    </w:p>
    <w:p w:rsidR="00000000" w:rsidRPr="00B41460" w:rsidP="00B41460">
      <w:pPr>
        <w:pStyle w:val="ListBullet"/>
      </w:pPr>
      <w:r w:rsidRPr="00B41460">
        <w:t>environmental impacts regarding embalming procedures and minimal impact practices to reduce these</w:t>
      </w:r>
    </w:p>
    <w:p w:rsidR="00000000" w:rsidRPr="00B41460" w:rsidP="00B41460">
      <w:pPr>
        <w:pStyle w:val="ListBullet"/>
      </w:pPr>
      <w:r w:rsidRPr="00B41460">
        <w:t>correct and environmentally sound disposal methods for all types of waste and in particular for hazardous substances</w:t>
      </w:r>
    </w:p>
    <w:p w:rsidR="00000000" w:rsidRPr="00B41460" w:rsidP="00B41460">
      <w:pPr>
        <w:pStyle w:val="ListBullet"/>
      </w:pPr>
      <w:r w:rsidRPr="00B41460">
        <w:t>workplace policies and procedures in relation to treating tissue gas</w:t>
      </w:r>
    </w:p>
    <w:p w:rsidR="00000000" w:rsidRPr="00B41460" w:rsidP="00B41460">
      <w:pPr>
        <w:pStyle w:val="ListBullet"/>
      </w:pPr>
      <w:r w:rsidRPr="00B41460">
        <w:t>funeral services industry parameters and protocols for dealing with th</w:t>
      </w:r>
      <w:r w:rsidRPr="00B41460">
        <w:t>e deceased, including social cultural and religious considerations.</w:t>
      </w:r>
    </w:p>
    <w:p w:rsidR="00000000" w:rsidRPr="00B41460" w:rsidP="00B41460">
      <w:pPr>
        <w:pStyle w:val="AllowPageBreak"/>
      </w:pPr>
    </w:p>
    <w:p w:rsidR="00000000" w:rsidRPr="00B41460" w:rsidP="00B41460">
      <w:pPr>
        <w:pStyle w:val="Heading1"/>
      </w:pPr>
      <w:bookmarkStart w:id="4" w:name="O_577968"/>
      <w:bookmarkEnd w:id="4"/>
      <w:r w:rsidRPr="00B41460">
        <w:t>Assessment Conditions</w:t>
      </w:r>
    </w:p>
    <w:p w:rsidR="00000000" w:rsidRPr="00B41460" w:rsidP="00047584">
      <w:pPr>
        <w:pStyle w:val="BodyText"/>
      </w:pPr>
      <w:r w:rsidRPr="00B41460">
        <w:t>Skills must be demonstrated in a mortuary workplace:</w:t>
      </w:r>
    </w:p>
    <w:p w:rsidR="00000000" w:rsidRPr="00B41460" w:rsidP="00B41460">
      <w:pPr>
        <w:pStyle w:val="ListBullet"/>
      </w:pPr>
      <w:r w:rsidRPr="00B41460">
        <w:t>using suitable equipment and resources, including:</w:t>
      </w:r>
    </w:p>
    <w:p w:rsidR="00000000" w:rsidRPr="00B41460" w:rsidP="00B41460">
      <w:pPr>
        <w:pStyle w:val="ListBullet2"/>
      </w:pPr>
      <w:r w:rsidRPr="00B41460">
        <w:t>deceased bodies exhibiting a variety of com</w:t>
      </w:r>
      <w:r w:rsidRPr="00B41460">
        <w:t>plex ante mortem cases</w:t>
      </w:r>
    </w:p>
    <w:p w:rsidR="00000000" w:rsidRPr="00B41460" w:rsidP="00B41460">
      <w:pPr>
        <w:pStyle w:val="ListBullet2"/>
      </w:pPr>
      <w:r w:rsidRPr="00B41460">
        <w:t>mortuary instruments and equipment including personal protective equipment, chemicals and cleansing and disinfecting products</w:t>
      </w:r>
    </w:p>
    <w:p w:rsidR="00000000" w:rsidRPr="00B41460" w:rsidP="00B41460">
      <w:pPr>
        <w:pStyle w:val="ListBullet"/>
      </w:pPr>
      <w:r w:rsidRPr="00B41460">
        <w:t>under industry operating conditions where there is:</w:t>
      </w:r>
    </w:p>
    <w:p w:rsidR="00000000" w:rsidRPr="00B41460" w:rsidP="00B41460">
      <w:pPr>
        <w:pStyle w:val="ListBullet2"/>
      </w:pPr>
      <w:r w:rsidRPr="00B41460">
        <w:t>integration of tasks with possible interruptions to w</w:t>
      </w:r>
      <w:r w:rsidRPr="00B41460">
        <w:t xml:space="preserve">ork typical of the job role </w:t>
      </w:r>
    </w:p>
    <w:p w:rsidR="00000000" w:rsidRPr="00B41460" w:rsidP="00B41460">
      <w:pPr>
        <w:pStyle w:val="ListBullet2"/>
      </w:pPr>
      <w:r w:rsidRPr="00B41460">
        <w:t xml:space="preserve">speed and timing requirements that reflect commercial operating conditions </w:t>
      </w:r>
    </w:p>
    <w:p w:rsidR="00000000" w:rsidRPr="00B41460" w:rsidP="00B41460">
      <w:pPr>
        <w:pStyle w:val="ListBullet2"/>
      </w:pPr>
      <w:r w:rsidRPr="00B41460">
        <w:t>interaction with team members</w:t>
      </w:r>
    </w:p>
    <w:p w:rsidR="00000000" w:rsidRPr="00B41460" w:rsidP="00B41460">
      <w:pPr>
        <w:pStyle w:val="BodyText"/>
      </w:pPr>
    </w:p>
    <w:p w:rsidR="00000000" w:rsidRPr="00B41460" w:rsidP="00047584">
      <w:pPr>
        <w:pStyle w:val="BodyText"/>
      </w:pPr>
      <w:r w:rsidRPr="00B41460">
        <w:t>As well as satisfying the NVR/AQTF mandatory competency requirements, assessors must also hold formal qualifications as an embalmer.</w:t>
      </w:r>
    </w:p>
    <w:p w:rsidR="00000000" w:rsidRPr="00B41460" w:rsidP="00B41460">
      <w:pPr>
        <w:pStyle w:val="Heading1"/>
      </w:pPr>
      <w:bookmarkStart w:id="5" w:name="O_577970"/>
      <w:bookmarkEnd w:id="5"/>
      <w:r w:rsidRPr="00B41460">
        <w:t>Links</w:t>
      </w:r>
    </w:p>
    <w:p w:rsidR="00000000" w:rsidRPr="00B41460" w:rsidP="00047584">
      <w:pPr>
        <w:pStyle w:val="BodyText"/>
      </w:pPr>
      <w:r w:rsidRPr="00B41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63AA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41460" w:rsidP="00B41460"/>
    <w:sectPr w:rsidSect="00B414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60" w:rsidRPr="00047584" w:rsidP="00047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84" w:rsidP="00B41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7584" w:rsidP="00B41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7584" w:rsidP="00B41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460" w:rsidRPr="00047584" w:rsidP="00047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84" w:rsidRPr="002D2AF8" w:rsidP="00B41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SIFEMWK016 Treat complex ante mortem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47584" w:rsidP="00B41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622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7C0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1CF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460"/>
  </w:style>
  <w:style w:type="character" w:customStyle="1" w:styleId="Heading1Char">
    <w:name w:val="Heading 1 Char"/>
    <w:basedOn w:val="DefaultParagraphFont"/>
    <w:link w:val="Heading1"/>
    <w:rsid w:val="00B41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4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14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1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460"/>
    <w:rPr>
      <w:b/>
      <w:spacing w:val="0"/>
    </w:rPr>
  </w:style>
  <w:style w:type="paragraph" w:customStyle="1" w:styleId="SuperTitle">
    <w:name w:val="SuperTitle"/>
    <w:basedOn w:val="Title"/>
    <w:rsid w:val="00B41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1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4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460"/>
    <w:rPr>
      <w:i/>
    </w:rPr>
  </w:style>
  <w:style w:type="paragraph" w:styleId="Caption">
    <w:name w:val="caption"/>
    <w:basedOn w:val="BodyText"/>
    <w:next w:val="Normal"/>
    <w:qFormat/>
    <w:rsid w:val="00B41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460"/>
  </w:style>
  <w:style w:type="paragraph" w:styleId="TableofFigures">
    <w:name w:val="table of figures"/>
    <w:basedOn w:val="Normal"/>
    <w:next w:val="Normal"/>
    <w:semiHidden/>
    <w:rsid w:val="00B41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4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1460"/>
    <w:rPr>
      <w:rFonts w:ascii="Wingdings" w:hAnsi="Wingdings"/>
    </w:rPr>
  </w:style>
  <w:style w:type="paragraph" w:customStyle="1" w:styleId="TableHeading">
    <w:name w:val="Table Heading"/>
    <w:basedOn w:val="HeadingBase"/>
    <w:rsid w:val="00B41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460"/>
    <w:rPr>
      <w:color w:val="0033CC"/>
      <w:u w:val="none"/>
    </w:rPr>
  </w:style>
  <w:style w:type="paragraph" w:customStyle="1" w:styleId="BodyTextRight">
    <w:name w:val="Body Text Right"/>
    <w:basedOn w:val="BodyText"/>
    <w:rsid w:val="00B41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4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460"/>
    <w:rPr>
      <w:sz w:val="32"/>
    </w:rPr>
  </w:style>
  <w:style w:type="paragraph" w:customStyle="1" w:styleId="HeadingProcedure">
    <w:name w:val="Heading Procedure"/>
    <w:basedOn w:val="HeadingBase"/>
    <w:next w:val="Normal"/>
    <w:rsid w:val="00B41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460"/>
    <w:pPr>
      <w:spacing w:before="60" w:after="60"/>
    </w:pPr>
  </w:style>
  <w:style w:type="paragraph" w:styleId="ListContinue">
    <w:name w:val="List Continue"/>
    <w:basedOn w:val="List"/>
    <w:rsid w:val="00B41460"/>
    <w:pPr>
      <w:ind w:firstLine="0"/>
    </w:pPr>
  </w:style>
  <w:style w:type="paragraph" w:customStyle="1" w:styleId="ListNote">
    <w:name w:val="List Note"/>
    <w:basedOn w:val="List"/>
    <w:rsid w:val="00B41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460"/>
    <w:rPr>
      <w:rFonts w:ascii="Courier New" w:hAnsi="Courier New"/>
    </w:rPr>
  </w:style>
  <w:style w:type="paragraph" w:customStyle="1" w:styleId="NoteBullet">
    <w:name w:val="Note Bullet"/>
    <w:basedOn w:val="Note"/>
    <w:rsid w:val="00B41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4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1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460"/>
    <w:rPr>
      <w:b/>
      <w:smallCaps/>
    </w:rPr>
  </w:style>
  <w:style w:type="paragraph" w:customStyle="1" w:styleId="TableListNumber">
    <w:name w:val="Table List Number"/>
    <w:basedOn w:val="ListNumber"/>
    <w:rsid w:val="00B41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460"/>
    <w:pPr>
      <w:numPr>
        <w:numId w:val="9"/>
      </w:numPr>
    </w:pPr>
  </w:style>
  <w:style w:type="paragraph" w:customStyle="1" w:styleId="ListAlpha2">
    <w:name w:val="List Alpha 2"/>
    <w:basedOn w:val="List2"/>
    <w:rsid w:val="00B41460"/>
    <w:pPr>
      <w:numPr>
        <w:numId w:val="8"/>
      </w:numPr>
    </w:pPr>
  </w:style>
  <w:style w:type="paragraph" w:styleId="List2">
    <w:name w:val="List 2"/>
    <w:basedOn w:val="BodyText"/>
    <w:rsid w:val="00B41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4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4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1460"/>
    <w:pPr>
      <w:numPr>
        <w:numId w:val="4"/>
      </w:numPr>
    </w:pPr>
  </w:style>
  <w:style w:type="paragraph" w:styleId="ListContinue2">
    <w:name w:val="List Continue 2"/>
    <w:basedOn w:val="List2"/>
    <w:rsid w:val="00B41460"/>
    <w:pPr>
      <w:ind w:firstLine="0"/>
    </w:pPr>
  </w:style>
  <w:style w:type="paragraph" w:styleId="ListContinue3">
    <w:name w:val="List Continue 3"/>
    <w:basedOn w:val="List3"/>
    <w:rsid w:val="00B41460"/>
    <w:pPr>
      <w:ind w:left="1021" w:firstLine="0"/>
    </w:pPr>
  </w:style>
  <w:style w:type="paragraph" w:styleId="ListContinue4">
    <w:name w:val="List Continue 4"/>
    <w:basedOn w:val="List4"/>
    <w:rsid w:val="00B41460"/>
    <w:pPr>
      <w:ind w:firstLine="0"/>
    </w:pPr>
  </w:style>
  <w:style w:type="paragraph" w:styleId="ListContinue5">
    <w:name w:val="List Continue 5"/>
    <w:basedOn w:val="List5"/>
    <w:rsid w:val="00B41460"/>
    <w:pPr>
      <w:ind w:firstLine="0"/>
    </w:pPr>
  </w:style>
  <w:style w:type="paragraph" w:styleId="ListNumber3">
    <w:name w:val="List Number 3"/>
    <w:basedOn w:val="List3"/>
    <w:rsid w:val="00B41460"/>
    <w:pPr>
      <w:numPr>
        <w:numId w:val="5"/>
      </w:numPr>
    </w:pPr>
  </w:style>
  <w:style w:type="paragraph" w:styleId="ListNumber4">
    <w:name w:val="List Number 4"/>
    <w:basedOn w:val="List4"/>
    <w:rsid w:val="00B41460"/>
    <w:pPr>
      <w:numPr>
        <w:numId w:val="6"/>
      </w:numPr>
    </w:pPr>
  </w:style>
  <w:style w:type="paragraph" w:styleId="ListNumber5">
    <w:name w:val="List Number 5"/>
    <w:basedOn w:val="List5"/>
    <w:rsid w:val="00B41460"/>
    <w:pPr>
      <w:numPr>
        <w:numId w:val="7"/>
      </w:numPr>
    </w:pPr>
  </w:style>
  <w:style w:type="paragraph" w:styleId="BlockText">
    <w:name w:val="Block Text"/>
    <w:basedOn w:val="Normal"/>
    <w:rsid w:val="00B41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460"/>
    <w:rPr>
      <w:sz w:val="16"/>
      <w:vertAlign w:val="superscript"/>
    </w:rPr>
  </w:style>
  <w:style w:type="character" w:customStyle="1" w:styleId="Symbols">
    <w:name w:val="Symbols"/>
    <w:basedOn w:val="DefaultParagraphFont"/>
    <w:rsid w:val="00B41460"/>
    <w:rPr>
      <w:rFonts w:ascii="Symbol" w:hAnsi="Symbol"/>
    </w:rPr>
  </w:style>
  <w:style w:type="character" w:customStyle="1" w:styleId="MenuOptions">
    <w:name w:val="Menu Options"/>
    <w:basedOn w:val="DefaultParagraphFont"/>
    <w:rsid w:val="00B41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460"/>
    <w:rPr>
      <w:b/>
    </w:rPr>
  </w:style>
  <w:style w:type="character" w:customStyle="1" w:styleId="Underlined">
    <w:name w:val="Underlined"/>
    <w:basedOn w:val="DefaultParagraphFont"/>
    <w:rsid w:val="00B41460"/>
    <w:rPr>
      <w:u w:val="single"/>
    </w:rPr>
  </w:style>
  <w:style w:type="paragraph" w:customStyle="1" w:styleId="TableBodyTextRight">
    <w:name w:val="Table Body Text Right"/>
    <w:basedOn w:val="TableBodyText"/>
    <w:rsid w:val="00B41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460"/>
    <w:rPr>
      <w:sz w:val="18"/>
    </w:rPr>
  </w:style>
  <w:style w:type="paragraph" w:customStyle="1" w:styleId="BodySmallRight">
    <w:name w:val="Body Small Right"/>
    <w:basedOn w:val="BodyTextRight"/>
    <w:rsid w:val="00B41460"/>
    <w:rPr>
      <w:sz w:val="18"/>
      <w:szCs w:val="18"/>
    </w:rPr>
  </w:style>
  <w:style w:type="paragraph" w:customStyle="1" w:styleId="MarginEdition">
    <w:name w:val="Margin Edition"/>
    <w:basedOn w:val="MarginNote"/>
    <w:rsid w:val="00B41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460"/>
    <w:rPr>
      <w:sz w:val="2"/>
      <w:szCs w:val="2"/>
    </w:rPr>
  </w:style>
  <w:style w:type="character" w:customStyle="1" w:styleId="Small">
    <w:name w:val="Small"/>
    <w:basedOn w:val="DefaultParagraphFont"/>
    <w:rsid w:val="00B41460"/>
    <w:rPr>
      <w:sz w:val="16"/>
    </w:rPr>
  </w:style>
  <w:style w:type="paragraph" w:customStyle="1" w:styleId="WideTable">
    <w:name w:val="Wide Table"/>
    <w:basedOn w:val="Normal"/>
    <w:rsid w:val="00B41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460"/>
  </w:style>
  <w:style w:type="paragraph" w:styleId="Quote">
    <w:name w:val="Quote"/>
    <w:basedOn w:val="Heading1"/>
    <w:link w:val="QuoteChar"/>
    <w:qFormat/>
    <w:rsid w:val="00B41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460"/>
    <w:pPr>
      <w:pageBreakBefore/>
    </w:pPr>
  </w:style>
  <w:style w:type="paragraph" w:customStyle="1" w:styleId="Border">
    <w:name w:val="Border"/>
    <w:basedOn w:val="Normal"/>
    <w:qFormat/>
    <w:rsid w:val="00B41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460"/>
    <w:rPr>
      <w:u w:val="single"/>
    </w:rPr>
  </w:style>
  <w:style w:type="character" w:customStyle="1" w:styleId="BoldandItalics">
    <w:name w:val="Bold and Italics"/>
    <w:qFormat/>
    <w:rsid w:val="00B41460"/>
    <w:rPr>
      <w:b/>
      <w:i/>
      <w:u w:val="none"/>
    </w:rPr>
  </w:style>
  <w:style w:type="paragraph" w:styleId="BalloonText">
    <w:name w:val="Balloon Text"/>
    <w:basedOn w:val="Normal"/>
    <w:link w:val="BalloonTextChar"/>
    <w:rsid w:val="00B41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460"/>
    <w:pPr>
      <w:spacing w:before="0" w:after="0"/>
    </w:pPr>
  </w:style>
  <w:style w:type="paragraph" w:customStyle="1" w:styleId="BodyTextBold">
    <w:name w:val="Body Text Bold"/>
    <w:basedOn w:val="BodyText"/>
    <w:qFormat/>
    <w:rsid w:val="00B41460"/>
    <w:rPr>
      <w:b/>
    </w:rPr>
  </w:style>
  <w:style w:type="character" w:styleId="Hyperlink">
    <w:name w:val="Hyperlink"/>
    <w:basedOn w:val="DefaultParagraphFont"/>
    <w:uiPriority w:val="99"/>
    <w:unhideWhenUsed/>
    <w:rsid w:val="00047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3265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SIFEMWK016 Treat complex ante mortem cases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