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641" w:rsidP="001A2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SIFEMWK015 Perform arterial embalming of autopsied cases</w:t>
      </w:r>
      <w:r>
        <w:fldChar w:fldCharType="end"/>
      </w:r>
    </w:p>
    <w:p w:rsidR="001A2641" w:rsidP="001A2641">
      <w:pPr>
        <w:pStyle w:val="Version"/>
        <w:sectPr w:rsidSect="00C54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A24" w:rsidP="00C54A24">
      <w:pPr>
        <w:pStyle w:val="SuperHeading"/>
      </w:pPr>
      <w:r w:rsidRPr="00C54A24">
        <w:t>SIFEMWK015 Perform arterial embalming of autopsied cases</w:t>
      </w:r>
    </w:p>
    <w:p w:rsidR="00000000" w:rsidRPr="00C54A24" w:rsidP="00C54A24">
      <w:pPr>
        <w:pStyle w:val="Heading1"/>
      </w:pPr>
      <w:bookmarkStart w:id="1" w:name="O_577921"/>
      <w:bookmarkEnd w:id="1"/>
      <w:r w:rsidRPr="00C54A24">
        <w:t>Modification History</w:t>
      </w:r>
    </w:p>
    <w:p w:rsidR="00000000" w:rsidRPr="00C54A24" w:rsidP="001A2641">
      <w:pPr>
        <w:pStyle w:val="BodyText"/>
      </w:pPr>
      <w:r w:rsidRPr="00C54A24">
        <w:t>Not applicable.</w:t>
      </w:r>
    </w:p>
    <w:p w:rsidR="00000000" w:rsidRPr="00C54A24" w:rsidP="00C54A24">
      <w:pPr>
        <w:pStyle w:val="Heading1"/>
      </w:pPr>
      <w:bookmarkStart w:id="2" w:name="O_577922"/>
      <w:bookmarkEnd w:id="2"/>
      <w:r w:rsidRPr="00C54A24">
        <w:t>Application</w:t>
      </w:r>
    </w:p>
    <w:p w:rsidR="00000000" w:rsidRPr="00C54A24" w:rsidP="001A2641">
      <w:pPr>
        <w:pStyle w:val="BodyText"/>
      </w:pPr>
      <w:r w:rsidRPr="00C54A24">
        <w:t>This unit describes the performance outcomes, skills and knowledge required to identify and perform the most appropriate arterial embalming procedures and techniques on autop</w:t>
      </w:r>
      <w:r w:rsidRPr="00C54A24">
        <w:t xml:space="preserve">sied cases based on body condition, including babies and infants up to 2 years of age. It applies to embalming staff responsible for carrying out arterial embalming on autopsied cases as part of the embalming process. It involves working autonomously with </w:t>
      </w:r>
      <w:r w:rsidRPr="00C54A24">
        <w:t>a high level of responsibility and according to and according to work health and safety, relevant legislation and workplace policies and procedures.</w:t>
      </w:r>
    </w:p>
    <w:p w:rsidR="00000000" w:rsidRPr="00C54A24" w:rsidP="001A2641">
      <w:pPr>
        <w:pStyle w:val="BodyText"/>
      </w:pPr>
      <w:r w:rsidRPr="00C54A24">
        <w:t>No licensing, legislative or certification requirements apply to this unit at the time of publication.</w:t>
      </w:r>
    </w:p>
    <w:p w:rsidR="00000000" w:rsidRPr="00C54A24" w:rsidP="00C54A24">
      <w:pPr>
        <w:pStyle w:val="Heading1"/>
      </w:pPr>
      <w:bookmarkStart w:id="3" w:name="O_577924"/>
      <w:bookmarkEnd w:id="3"/>
      <w:r w:rsidRPr="00C54A24">
        <w:t>Competency Field</w:t>
      </w:r>
    </w:p>
    <w:p w:rsidR="00000000" w:rsidRPr="00C54A24" w:rsidP="001A2641">
      <w:pPr>
        <w:pStyle w:val="BodyText"/>
      </w:pPr>
      <w:r w:rsidRPr="00C54A24">
        <w:t>Mortuary Work and Embalming</w:t>
      </w:r>
    </w:p>
    <w:p w:rsidR="00000000" w:rsidRPr="00C54A24" w:rsidP="00C54A24">
      <w:pPr>
        <w:pStyle w:val="Heading1"/>
      </w:pPr>
      <w:bookmarkStart w:id="4" w:name="O_577925"/>
      <w:bookmarkEnd w:id="4"/>
      <w:r w:rsidRPr="00C54A24">
        <w:t>Unit Sector</w:t>
      </w:r>
    </w:p>
    <w:p w:rsidR="00000000" w:rsidRPr="00C54A24" w:rsidP="001A2641">
      <w:pPr>
        <w:pStyle w:val="BodyText"/>
      </w:pPr>
      <w:r w:rsidRPr="00C54A24">
        <w:t>Embalming</w:t>
      </w:r>
    </w:p>
    <w:p w:rsidR="00000000" w:rsidRPr="00C54A24" w:rsidP="00C54A24">
      <w:pPr>
        <w:pStyle w:val="Heading1"/>
      </w:pPr>
      <w:bookmarkStart w:id="5" w:name="O_577926"/>
      <w:bookmarkEnd w:id="5"/>
      <w:r w:rsidRPr="00C54A2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A26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24" w:rsidP="00C54A24">
            <w:pPr>
              <w:pStyle w:val="BodyText"/>
            </w:pPr>
            <w:r w:rsidRPr="00C54A2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24">
            <w:pPr>
              <w:pStyle w:val="BodyText"/>
              <w:rPr>
                <w:lang w:val="en-NZ"/>
              </w:rPr>
            </w:pPr>
            <w:r w:rsidRPr="00C54A24">
              <w:rPr>
                <w:rStyle w:val="SpecialBold"/>
              </w:rPr>
              <w:t>PERFORMANCE CRITERIA</w:t>
            </w:r>
          </w:p>
        </w:tc>
      </w:tr>
      <w:tr w:rsidTr="001A26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24">
            <w:pPr>
              <w:pStyle w:val="BodyText"/>
              <w:rPr>
                <w:lang w:val="en-NZ"/>
              </w:rPr>
            </w:pPr>
            <w:r w:rsidRPr="00C54A2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24">
            <w:pPr>
              <w:pStyle w:val="BodyText"/>
              <w:rPr>
                <w:lang w:val="en-NZ"/>
              </w:rPr>
            </w:pPr>
            <w:r w:rsidRPr="00C54A24">
              <w:t xml:space="preserve">Performance criteria describe the </w:t>
            </w:r>
            <w:r w:rsidRPr="00C54A24">
              <w:t xml:space="preserve">performance needed to demonstrate achievement of the element. </w:t>
            </w:r>
          </w:p>
        </w:tc>
      </w:tr>
      <w:tr w:rsidTr="001A26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24">
            <w:pPr>
              <w:pStyle w:val="List"/>
              <w:rPr>
                <w:lang w:val="en-NZ"/>
              </w:rPr>
            </w:pPr>
            <w:r w:rsidRPr="00C54A24">
              <w:t>1.</w:t>
            </w:r>
            <w:r w:rsidRPr="00C54A24">
              <w:tab/>
              <w:t>Prepare to perform arterial embalming.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24" w:rsidP="00C54A24">
            <w:pPr>
              <w:pStyle w:val="List"/>
            </w:pPr>
            <w:r w:rsidRPr="00C54A24">
              <w:t>1.1</w:t>
            </w:r>
            <w:r w:rsidRPr="00C54A24">
              <w:tab/>
              <w:t>Prepare and use personal protective equipment.</w:t>
            </w:r>
          </w:p>
          <w:p w:rsidR="00000000" w:rsidRPr="00C54A24" w:rsidP="00C54A24">
            <w:pPr>
              <w:pStyle w:val="List"/>
            </w:pPr>
            <w:r w:rsidRPr="00C54A24">
              <w:t>1.2</w:t>
            </w:r>
            <w:r w:rsidRPr="00C54A24">
              <w:tab/>
              <w:t xml:space="preserve">Prepare mortuary area and appropriate mortuary instruments and equipment. </w:t>
            </w:r>
          </w:p>
          <w:p w:rsidR="00000000" w:rsidRPr="00C54A24" w:rsidP="00C54A24">
            <w:pPr>
              <w:pStyle w:val="List"/>
            </w:pPr>
            <w:r w:rsidRPr="00C54A24">
              <w:t>1.3</w:t>
            </w:r>
            <w:r w:rsidRPr="00C54A24">
              <w:tab/>
            </w:r>
            <w:r w:rsidRPr="00C54A24">
              <w:t>Identify type of autopsy performed and evaluate embalming implications.</w:t>
            </w:r>
          </w:p>
          <w:p w:rsidR="00000000" w:rsidRPr="00C54A24" w:rsidP="00C54A24">
            <w:pPr>
              <w:pStyle w:val="List"/>
            </w:pPr>
            <w:r w:rsidRPr="00C54A24">
              <w:t>1.4</w:t>
            </w:r>
            <w:r w:rsidRPr="00C54A24">
              <w:tab/>
              <w:t>Remove invasive and non invasive medical paraphernalia as required.</w:t>
            </w:r>
          </w:p>
          <w:p w:rsidR="00000000" w:rsidRPr="00C54A24" w:rsidP="00C54A24">
            <w:pPr>
              <w:pStyle w:val="List"/>
            </w:pPr>
            <w:r w:rsidRPr="00C54A24">
              <w:t>1.5</w:t>
            </w:r>
            <w:r w:rsidRPr="00C54A24">
              <w:tab/>
              <w:t>Remove all autopsy sutures using appropriate techniques.</w:t>
            </w:r>
          </w:p>
          <w:p w:rsidR="00000000" w:rsidP="00C54A24">
            <w:pPr>
              <w:pStyle w:val="List"/>
              <w:rPr>
                <w:lang w:val="en-NZ"/>
              </w:rPr>
            </w:pPr>
            <w:r w:rsidRPr="00C54A24">
              <w:t>1.6</w:t>
            </w:r>
            <w:r w:rsidRPr="00C54A24">
              <w:tab/>
              <w:t>Remove viscera bag and clean, disinfect and dry</w:t>
            </w:r>
            <w:r w:rsidRPr="00C54A24">
              <w:t xml:space="preserve"> viscera.</w:t>
            </w:r>
          </w:p>
        </w:tc>
      </w:tr>
      <w:tr w:rsidTr="001A26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24">
            <w:pPr>
              <w:pStyle w:val="List"/>
              <w:rPr>
                <w:lang w:val="en-NZ"/>
              </w:rPr>
            </w:pPr>
            <w:r w:rsidRPr="00C54A24">
              <w:t>2.</w:t>
            </w:r>
            <w:r w:rsidRPr="00C54A24">
              <w:tab/>
              <w:t>Perform arterial embalming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24" w:rsidP="00C54A24">
            <w:pPr>
              <w:pStyle w:val="List"/>
            </w:pPr>
            <w:r w:rsidRPr="00C54A24">
              <w:t>2.1</w:t>
            </w:r>
            <w:r w:rsidRPr="00C54A24">
              <w:tab/>
              <w:t>Locate vessels to be used for arterial injection and drainage using appropriate techniques.</w:t>
            </w:r>
          </w:p>
          <w:p w:rsidR="00000000" w:rsidRPr="00C54A24" w:rsidP="00C54A24">
            <w:pPr>
              <w:pStyle w:val="List"/>
            </w:pPr>
            <w:r w:rsidRPr="00C54A24">
              <w:t>2.2</w:t>
            </w:r>
            <w:r w:rsidRPr="00C54A24">
              <w:tab/>
              <w:t>Mix and prepare arterial embalming chemicals according to pre-embalming case analysis.</w:t>
            </w:r>
          </w:p>
          <w:p w:rsidR="00000000" w:rsidRPr="00C54A24" w:rsidP="00C54A24">
            <w:pPr>
              <w:pStyle w:val="List"/>
            </w:pPr>
            <w:r w:rsidRPr="00C54A24">
              <w:t>2.3</w:t>
            </w:r>
            <w:r w:rsidRPr="00C54A24">
              <w:tab/>
              <w:t>Determine in</w:t>
            </w:r>
            <w:r w:rsidRPr="00C54A24">
              <w:t>jection pressure and rate of flow according to pre-embalming case analysis.</w:t>
            </w:r>
          </w:p>
          <w:p w:rsidR="00000000" w:rsidRPr="00C54A24" w:rsidP="00C54A24">
            <w:pPr>
              <w:pStyle w:val="List"/>
            </w:pPr>
            <w:r w:rsidRPr="00C54A24">
              <w:t>2.4</w:t>
            </w:r>
            <w:r w:rsidRPr="00C54A24">
              <w:tab/>
              <w:t>Inject identified vessels.</w:t>
            </w:r>
          </w:p>
          <w:p w:rsidR="00000000" w:rsidRPr="00C54A24" w:rsidP="00C54A24">
            <w:pPr>
              <w:pStyle w:val="List"/>
            </w:pPr>
            <w:r w:rsidRPr="00C54A24">
              <w:t>2.5</w:t>
            </w:r>
            <w:r w:rsidRPr="00C54A24">
              <w:tab/>
              <w:t>Maintain effectiveness of distribution and diffusion of arterial injection by massage of the limbs, hands, feet, neck and face.</w:t>
            </w:r>
          </w:p>
          <w:p w:rsidR="00000000" w:rsidRPr="00C54A24" w:rsidP="00C54A24">
            <w:pPr>
              <w:pStyle w:val="List"/>
            </w:pPr>
            <w:r w:rsidRPr="00C54A24">
              <w:t>2.6</w:t>
            </w:r>
            <w:r w:rsidRPr="00C54A24">
              <w:tab/>
              <w:t>Maintain suit</w:t>
            </w:r>
            <w:r w:rsidRPr="00C54A24">
              <w:t>able drainage into cavity.</w:t>
            </w:r>
          </w:p>
          <w:p w:rsidR="00000000" w:rsidRPr="00C54A24" w:rsidP="00C54A24">
            <w:pPr>
              <w:pStyle w:val="List"/>
            </w:pPr>
            <w:r w:rsidRPr="00C54A24">
              <w:t>2.7</w:t>
            </w:r>
            <w:r w:rsidRPr="00C54A24">
              <w:tab/>
              <w:t>Identify and raise secondary injection sites as required.</w:t>
            </w:r>
          </w:p>
          <w:p w:rsidR="00000000" w:rsidRPr="00C54A24" w:rsidP="00C54A24">
            <w:pPr>
              <w:pStyle w:val="List"/>
            </w:pPr>
            <w:r w:rsidRPr="00C54A24">
              <w:t>2.8</w:t>
            </w:r>
            <w:r w:rsidRPr="00C54A24">
              <w:tab/>
              <w:t>Apply alternative treatments for areas not reached by arterial fluid using appropriate methods.</w:t>
            </w:r>
          </w:p>
          <w:p w:rsidR="00000000" w:rsidRPr="00C54A24" w:rsidP="00C54A24">
            <w:pPr>
              <w:pStyle w:val="List"/>
            </w:pPr>
            <w:r w:rsidRPr="00C54A24">
              <w:t>2.9</w:t>
            </w:r>
            <w:r w:rsidRPr="00C54A24">
              <w:tab/>
              <w:t xml:space="preserve"> Return viscera to body cavity using appropriate techniques.</w:t>
            </w:r>
          </w:p>
          <w:p w:rsidR="00000000" w:rsidRPr="00C54A24" w:rsidP="00C54A24">
            <w:pPr>
              <w:pStyle w:val="List"/>
            </w:pPr>
            <w:r w:rsidRPr="00C54A24">
              <w:t>2.</w:t>
            </w:r>
            <w:r w:rsidRPr="00C54A24">
              <w:t>10</w:t>
            </w:r>
            <w:r w:rsidRPr="00C54A24">
              <w:tab/>
              <w:t>Apply appropriate suturing techniques to re-suture all autopsy incisions.</w:t>
            </w:r>
          </w:p>
          <w:p w:rsidR="00000000" w:rsidRPr="00C54A24" w:rsidP="00C54A24">
            <w:pPr>
              <w:pStyle w:val="List"/>
            </w:pPr>
            <w:r w:rsidRPr="00C54A24">
              <w:t>2.11</w:t>
            </w:r>
            <w:r w:rsidRPr="00C54A24">
              <w:tab/>
              <w:t>Re-cleanse and disinfect the body.</w:t>
            </w:r>
          </w:p>
          <w:p w:rsidR="00000000" w:rsidP="00C54A24">
            <w:pPr>
              <w:pStyle w:val="List"/>
              <w:rPr>
                <w:lang w:val="en-NZ"/>
              </w:rPr>
            </w:pPr>
            <w:r w:rsidRPr="00C54A24">
              <w:t>2.12</w:t>
            </w:r>
            <w:r w:rsidRPr="00C54A24">
              <w:tab/>
              <w:t>Identify and manage hazards, complications and problems.</w:t>
            </w:r>
          </w:p>
        </w:tc>
      </w:tr>
      <w:tr w:rsidTr="001A26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24">
            <w:pPr>
              <w:pStyle w:val="List"/>
              <w:rPr>
                <w:lang w:val="en-NZ"/>
              </w:rPr>
            </w:pPr>
            <w:r w:rsidRPr="00C54A24">
              <w:t>3.</w:t>
            </w:r>
            <w:r w:rsidRPr="00C54A24">
              <w:tab/>
            </w:r>
            <w:r w:rsidRPr="00C54A24">
              <w:t>Complete post-embalming case analysis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24" w:rsidP="00C54A24">
            <w:pPr>
              <w:pStyle w:val="List"/>
            </w:pPr>
            <w:r w:rsidRPr="00C54A24">
              <w:t>3.1</w:t>
            </w:r>
            <w:r w:rsidRPr="00C54A24">
              <w:tab/>
              <w:t>Perform case analysis to evaluate success of the procedure and determine implications for further embalming procedures.</w:t>
            </w:r>
          </w:p>
          <w:p w:rsidR="00000000" w:rsidRPr="00C54A24" w:rsidP="00C54A24">
            <w:pPr>
              <w:pStyle w:val="List"/>
            </w:pPr>
            <w:r w:rsidRPr="00C54A24">
              <w:t>3.2</w:t>
            </w:r>
            <w:r w:rsidRPr="00C54A24">
              <w:tab/>
              <w:t>Complete case analysis report that inc</w:t>
            </w:r>
            <w:r w:rsidRPr="00C54A24">
              <w:t>ludes reference to any complications that may have arisen and corrective actions taken.</w:t>
            </w:r>
          </w:p>
          <w:p w:rsidR="00000000" w:rsidRPr="00C54A24" w:rsidP="00C54A24">
            <w:pPr>
              <w:pStyle w:val="List"/>
            </w:pPr>
            <w:r w:rsidRPr="00C54A24">
              <w:t>3.3</w:t>
            </w:r>
            <w:r w:rsidRPr="00C54A24">
              <w:tab/>
              <w:t>Clean, disinfect or sterilise instruments and equipment.</w:t>
            </w:r>
          </w:p>
          <w:p w:rsidR="00000000" w:rsidRPr="00C54A24" w:rsidP="00C54A24">
            <w:pPr>
              <w:pStyle w:val="List"/>
            </w:pPr>
            <w:r w:rsidRPr="00C54A24">
              <w:t>3.4</w:t>
            </w:r>
            <w:r w:rsidRPr="00C54A24">
              <w:tab/>
              <w:t>Dispose of waste as appropriate.</w:t>
            </w:r>
          </w:p>
          <w:p w:rsidR="00000000" w:rsidRPr="00C54A24" w:rsidP="00C54A24">
            <w:pPr>
              <w:pStyle w:val="List"/>
            </w:pPr>
            <w:r w:rsidRPr="00C54A24">
              <w:t>3.5</w:t>
            </w:r>
            <w:r w:rsidRPr="00C54A24">
              <w:tab/>
              <w:t>Store instruments and equipment and report faults.</w:t>
            </w:r>
          </w:p>
          <w:p w:rsidR="00000000" w:rsidRPr="00C54A24" w:rsidP="00C54A24">
            <w:pPr>
              <w:pStyle w:val="List"/>
            </w:pPr>
            <w:r w:rsidRPr="00C54A24">
              <w:t>3.6</w:t>
            </w:r>
            <w:r w:rsidRPr="00C54A24">
              <w:tab/>
              <w:t>Clean and d</w:t>
            </w:r>
            <w:r w:rsidRPr="00C54A24">
              <w:t>isinfect mortuary area.</w:t>
            </w:r>
          </w:p>
        </w:tc>
      </w:tr>
    </w:tbl>
    <w:p w:rsidR="00000000" w:rsidRPr="00C54A24" w:rsidP="00C54A24">
      <w:pPr>
        <w:pStyle w:val="BodyText"/>
      </w:pPr>
    </w:p>
    <w:p w:rsidR="00000000" w:rsidRPr="00C54A24" w:rsidP="00C54A24">
      <w:pPr>
        <w:pStyle w:val="AllowPageBreak"/>
      </w:pPr>
    </w:p>
    <w:p w:rsidR="00000000" w:rsidRPr="00C54A24" w:rsidP="00C54A24">
      <w:pPr>
        <w:pStyle w:val="Heading1"/>
      </w:pPr>
      <w:bookmarkStart w:id="6" w:name="O_577927"/>
      <w:bookmarkEnd w:id="6"/>
      <w:r w:rsidRPr="00C54A24">
        <w:t>Foundation Skills</w:t>
      </w:r>
    </w:p>
    <w:p w:rsidR="00000000" w:rsidRPr="00C54A24" w:rsidP="001A2641">
      <w:pPr>
        <w:pStyle w:val="BodyText"/>
      </w:pPr>
      <w:r w:rsidRPr="00C54A24">
        <w:t>This section describes those language, literacy, numeracy and employment skills that are essential to performance.</w:t>
      </w:r>
    </w:p>
    <w:p w:rsidR="00000000" w:rsidRPr="00C54A24" w:rsidP="001A2641">
      <w:pPr>
        <w:pStyle w:val="BodyText"/>
      </w:pPr>
      <w:r w:rsidRPr="00C54A24">
        <w:t>Foundation skills essential to performance in this unit, but not explicit in th</w:t>
      </w:r>
      <w:r w:rsidRPr="00C54A24">
        <w:t>e performance criteria are listed below:</w:t>
      </w:r>
    </w:p>
    <w:p w:rsidR="00000000" w:rsidRPr="00C54A24" w:rsidP="00C54A24">
      <w:pPr>
        <w:pStyle w:val="ListBullet"/>
      </w:pPr>
      <w:r w:rsidRPr="00C54A24">
        <w:t>Reading skills to interpret work health and safety and infection control legislation.</w:t>
      </w:r>
    </w:p>
    <w:p w:rsidR="00000000" w:rsidRPr="00C54A24" w:rsidP="00C54A24">
      <w:pPr>
        <w:pStyle w:val="ListBullet"/>
      </w:pPr>
      <w:r w:rsidRPr="00C54A24">
        <w:t>Numeracy skills to calculate ratio for disinfecting instruments and equipment.</w:t>
      </w:r>
    </w:p>
    <w:p w:rsidR="00000000" w:rsidRPr="00C54A24" w:rsidP="00C54A24">
      <w:pPr>
        <w:pStyle w:val="AllowPageBreak"/>
      </w:pPr>
    </w:p>
    <w:p w:rsidR="00000000" w:rsidRPr="00C54A24" w:rsidP="00C54A24">
      <w:pPr>
        <w:pStyle w:val="Heading1"/>
      </w:pPr>
      <w:bookmarkStart w:id="7" w:name="O_577929"/>
      <w:bookmarkEnd w:id="7"/>
      <w:r w:rsidRPr="00C54A24">
        <w:t>Unit Mapping Information</w:t>
      </w:r>
    </w:p>
    <w:p w:rsidR="00000000" w:rsidRPr="00C54A24" w:rsidP="001A2641">
      <w:pPr>
        <w:pStyle w:val="BodyText"/>
      </w:pPr>
      <w:r w:rsidRPr="00C54A24">
        <w:t>No equivalent unit.</w:t>
      </w:r>
    </w:p>
    <w:p w:rsidR="00000000" w:rsidRPr="00C54A24" w:rsidP="00C54A24">
      <w:pPr>
        <w:pStyle w:val="Heading1"/>
      </w:pPr>
      <w:bookmarkStart w:id="8" w:name="O_577937"/>
      <w:bookmarkEnd w:id="8"/>
      <w:r w:rsidRPr="00C54A24">
        <w:t>Links</w:t>
      </w:r>
    </w:p>
    <w:p w:rsidR="00000000" w:rsidRPr="00C54A24" w:rsidP="001A2641">
      <w:pPr>
        <w:pStyle w:val="BodyText"/>
      </w:pPr>
      <w:r w:rsidRPr="00C54A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8614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54A24" w:rsidP="00C54A24"/>
    <w:sectPr w:rsidSect="00C54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4" w:rsidRPr="001A2641" w:rsidP="001A2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41" w:rsidP="00C54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641" w:rsidP="00C54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2641" w:rsidP="00C54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A24" w:rsidRPr="001A2641" w:rsidP="001A2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41" w:rsidRPr="002D2AF8" w:rsidP="00C54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SIFEMWK015 Perform arterial embalming of autopsied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A2641" w:rsidP="00C54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BA7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46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A24"/>
  </w:style>
  <w:style w:type="character" w:customStyle="1" w:styleId="Heading1Char">
    <w:name w:val="Heading 1 Char"/>
    <w:basedOn w:val="DefaultParagraphFont"/>
    <w:link w:val="Heading1"/>
    <w:rsid w:val="00C54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A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4A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4A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A24"/>
    <w:rPr>
      <w:b/>
      <w:spacing w:val="0"/>
    </w:rPr>
  </w:style>
  <w:style w:type="paragraph" w:customStyle="1" w:styleId="SuperHeading">
    <w:name w:val="SuperHeading"/>
    <w:basedOn w:val="Normal"/>
    <w:rsid w:val="00C54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A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4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A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A24"/>
    <w:rPr>
      <w:i/>
    </w:rPr>
  </w:style>
  <w:style w:type="paragraph" w:styleId="Caption">
    <w:name w:val="caption"/>
    <w:basedOn w:val="BodyText"/>
    <w:next w:val="Normal"/>
    <w:qFormat/>
    <w:rsid w:val="00C54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A24"/>
  </w:style>
  <w:style w:type="paragraph" w:styleId="TableofFigures">
    <w:name w:val="table of figures"/>
    <w:basedOn w:val="Normal"/>
    <w:next w:val="Normal"/>
    <w:semiHidden/>
    <w:rsid w:val="00C54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A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A24"/>
    <w:rPr>
      <w:rFonts w:ascii="Wingdings" w:hAnsi="Wingdings"/>
    </w:rPr>
  </w:style>
  <w:style w:type="paragraph" w:customStyle="1" w:styleId="TableHeading">
    <w:name w:val="Table Heading"/>
    <w:basedOn w:val="HeadingBase"/>
    <w:rsid w:val="00C54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A24"/>
    <w:rPr>
      <w:color w:val="0033CC"/>
      <w:u w:val="none"/>
    </w:rPr>
  </w:style>
  <w:style w:type="paragraph" w:customStyle="1" w:styleId="BodyTextRight">
    <w:name w:val="Body Text Right"/>
    <w:basedOn w:val="BodyText"/>
    <w:rsid w:val="00C54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A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A24"/>
    <w:rPr>
      <w:sz w:val="32"/>
    </w:rPr>
  </w:style>
  <w:style w:type="paragraph" w:customStyle="1" w:styleId="HeadingProcedure">
    <w:name w:val="Heading Procedure"/>
    <w:basedOn w:val="HeadingBase"/>
    <w:next w:val="Normal"/>
    <w:rsid w:val="00C54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A24"/>
    <w:pPr>
      <w:spacing w:before="60" w:after="60"/>
    </w:pPr>
  </w:style>
  <w:style w:type="paragraph" w:styleId="ListContinue">
    <w:name w:val="List Continue"/>
    <w:basedOn w:val="List"/>
    <w:rsid w:val="00C54A24"/>
    <w:pPr>
      <w:ind w:firstLine="0"/>
    </w:pPr>
  </w:style>
  <w:style w:type="paragraph" w:customStyle="1" w:styleId="ListNote">
    <w:name w:val="List Note"/>
    <w:basedOn w:val="List"/>
    <w:rsid w:val="00C54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A24"/>
    <w:rPr>
      <w:rFonts w:ascii="Courier New" w:hAnsi="Courier New"/>
    </w:rPr>
  </w:style>
  <w:style w:type="paragraph" w:customStyle="1" w:styleId="NoteBullet">
    <w:name w:val="Note Bullet"/>
    <w:basedOn w:val="Note"/>
    <w:rsid w:val="00C54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A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A24"/>
    <w:rPr>
      <w:b/>
      <w:smallCaps/>
    </w:rPr>
  </w:style>
  <w:style w:type="paragraph" w:customStyle="1" w:styleId="TableListNumber">
    <w:name w:val="Table List Number"/>
    <w:basedOn w:val="ListNumber"/>
    <w:rsid w:val="00C54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A24"/>
    <w:pPr>
      <w:numPr>
        <w:numId w:val="8"/>
      </w:numPr>
    </w:pPr>
  </w:style>
  <w:style w:type="paragraph" w:customStyle="1" w:styleId="ListAlpha2">
    <w:name w:val="List Alpha 2"/>
    <w:basedOn w:val="List2"/>
    <w:rsid w:val="00C54A24"/>
    <w:pPr>
      <w:numPr>
        <w:numId w:val="7"/>
      </w:numPr>
    </w:pPr>
  </w:style>
  <w:style w:type="paragraph" w:styleId="List2">
    <w:name w:val="List 2"/>
    <w:basedOn w:val="BodyText"/>
    <w:rsid w:val="00C54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A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A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A24"/>
    <w:pPr>
      <w:numPr>
        <w:numId w:val="3"/>
      </w:numPr>
    </w:pPr>
  </w:style>
  <w:style w:type="paragraph" w:styleId="ListContinue2">
    <w:name w:val="List Continue 2"/>
    <w:basedOn w:val="List2"/>
    <w:rsid w:val="00C54A24"/>
    <w:pPr>
      <w:ind w:firstLine="0"/>
    </w:pPr>
  </w:style>
  <w:style w:type="paragraph" w:styleId="ListContinue3">
    <w:name w:val="List Continue 3"/>
    <w:basedOn w:val="List3"/>
    <w:rsid w:val="00C54A24"/>
    <w:pPr>
      <w:ind w:left="1021" w:firstLine="0"/>
    </w:pPr>
  </w:style>
  <w:style w:type="paragraph" w:styleId="ListContinue4">
    <w:name w:val="List Continue 4"/>
    <w:basedOn w:val="List4"/>
    <w:rsid w:val="00C54A24"/>
    <w:pPr>
      <w:ind w:firstLine="0"/>
    </w:pPr>
  </w:style>
  <w:style w:type="paragraph" w:styleId="ListContinue5">
    <w:name w:val="List Continue 5"/>
    <w:basedOn w:val="List5"/>
    <w:rsid w:val="00C54A24"/>
    <w:pPr>
      <w:ind w:firstLine="0"/>
    </w:pPr>
  </w:style>
  <w:style w:type="paragraph" w:styleId="ListNumber3">
    <w:name w:val="List Number 3"/>
    <w:basedOn w:val="List3"/>
    <w:rsid w:val="00C54A24"/>
    <w:pPr>
      <w:numPr>
        <w:numId w:val="4"/>
      </w:numPr>
    </w:pPr>
  </w:style>
  <w:style w:type="paragraph" w:styleId="ListNumber4">
    <w:name w:val="List Number 4"/>
    <w:basedOn w:val="List4"/>
    <w:rsid w:val="00C54A24"/>
    <w:pPr>
      <w:numPr>
        <w:numId w:val="5"/>
      </w:numPr>
    </w:pPr>
  </w:style>
  <w:style w:type="paragraph" w:styleId="ListNumber5">
    <w:name w:val="List Number 5"/>
    <w:basedOn w:val="List5"/>
    <w:rsid w:val="00C54A24"/>
    <w:pPr>
      <w:numPr>
        <w:numId w:val="6"/>
      </w:numPr>
    </w:pPr>
  </w:style>
  <w:style w:type="paragraph" w:styleId="BlockText">
    <w:name w:val="Block Text"/>
    <w:basedOn w:val="Normal"/>
    <w:rsid w:val="00C54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A24"/>
    <w:rPr>
      <w:sz w:val="16"/>
      <w:vertAlign w:val="superscript"/>
    </w:rPr>
  </w:style>
  <w:style w:type="character" w:customStyle="1" w:styleId="Symbols">
    <w:name w:val="Symbols"/>
    <w:basedOn w:val="DefaultParagraphFont"/>
    <w:rsid w:val="00C54A24"/>
    <w:rPr>
      <w:rFonts w:ascii="Symbol" w:hAnsi="Symbol"/>
    </w:rPr>
  </w:style>
  <w:style w:type="character" w:customStyle="1" w:styleId="MenuOptions">
    <w:name w:val="Menu Options"/>
    <w:basedOn w:val="DefaultParagraphFont"/>
    <w:rsid w:val="00C54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A24"/>
    <w:rPr>
      <w:b/>
    </w:rPr>
  </w:style>
  <w:style w:type="character" w:customStyle="1" w:styleId="Underlined">
    <w:name w:val="Underlined"/>
    <w:basedOn w:val="DefaultParagraphFont"/>
    <w:rsid w:val="00C54A24"/>
    <w:rPr>
      <w:u w:val="single"/>
    </w:rPr>
  </w:style>
  <w:style w:type="paragraph" w:customStyle="1" w:styleId="TableBodyTextRight">
    <w:name w:val="Table Body Text Right"/>
    <w:basedOn w:val="TableBodyText"/>
    <w:rsid w:val="00C54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A24"/>
    <w:rPr>
      <w:sz w:val="18"/>
    </w:rPr>
  </w:style>
  <w:style w:type="paragraph" w:customStyle="1" w:styleId="BodySmallRight">
    <w:name w:val="Body Small Right"/>
    <w:basedOn w:val="BodyTextRight"/>
    <w:rsid w:val="00C54A24"/>
    <w:rPr>
      <w:sz w:val="18"/>
      <w:szCs w:val="18"/>
    </w:rPr>
  </w:style>
  <w:style w:type="paragraph" w:customStyle="1" w:styleId="MarginEdition">
    <w:name w:val="Margin Edition"/>
    <w:basedOn w:val="MarginNote"/>
    <w:rsid w:val="00C54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A24"/>
    <w:rPr>
      <w:sz w:val="2"/>
      <w:szCs w:val="2"/>
    </w:rPr>
  </w:style>
  <w:style w:type="character" w:customStyle="1" w:styleId="Small">
    <w:name w:val="Small"/>
    <w:basedOn w:val="DefaultParagraphFont"/>
    <w:rsid w:val="00C54A24"/>
    <w:rPr>
      <w:sz w:val="16"/>
    </w:rPr>
  </w:style>
  <w:style w:type="paragraph" w:customStyle="1" w:styleId="WideTable">
    <w:name w:val="Wide Table"/>
    <w:basedOn w:val="Normal"/>
    <w:rsid w:val="00C54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A24"/>
  </w:style>
  <w:style w:type="paragraph" w:styleId="Quote">
    <w:name w:val="Quote"/>
    <w:basedOn w:val="Heading1"/>
    <w:link w:val="QuoteChar"/>
    <w:qFormat/>
    <w:rsid w:val="00C54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A24"/>
    <w:pPr>
      <w:pageBreakBefore/>
    </w:pPr>
  </w:style>
  <w:style w:type="paragraph" w:customStyle="1" w:styleId="Border">
    <w:name w:val="Border"/>
    <w:basedOn w:val="Normal"/>
    <w:qFormat/>
    <w:rsid w:val="00C54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A24"/>
    <w:rPr>
      <w:u w:val="single"/>
    </w:rPr>
  </w:style>
  <w:style w:type="character" w:customStyle="1" w:styleId="BoldandItalics">
    <w:name w:val="Bold and Italics"/>
    <w:qFormat/>
    <w:rsid w:val="00C54A24"/>
    <w:rPr>
      <w:b/>
      <w:i/>
      <w:u w:val="none"/>
    </w:rPr>
  </w:style>
  <w:style w:type="paragraph" w:styleId="BalloonText">
    <w:name w:val="Balloon Text"/>
    <w:basedOn w:val="Normal"/>
    <w:link w:val="BalloonTextChar"/>
    <w:rsid w:val="00C54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A24"/>
    <w:pPr>
      <w:spacing w:before="0" w:after="0"/>
    </w:pPr>
  </w:style>
  <w:style w:type="paragraph" w:customStyle="1" w:styleId="BodyTextBold">
    <w:name w:val="Body Text Bold"/>
    <w:basedOn w:val="BodyText"/>
    <w:qFormat/>
    <w:rsid w:val="00C54A24"/>
    <w:rPr>
      <w:b/>
    </w:rPr>
  </w:style>
  <w:style w:type="character" w:styleId="Hyperlink">
    <w:name w:val="Hyperlink"/>
    <w:basedOn w:val="DefaultParagraphFont"/>
    <w:uiPriority w:val="99"/>
    <w:unhideWhenUsed/>
    <w:rsid w:val="001A2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3317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SIFEMWK015 Perform arterial embalming of autopsied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