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266" w:rsidP="00147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SIFEMWK014 Perform arterial embalming of natural cases</w:t>
      </w:r>
      <w:r>
        <w:fldChar w:fldCharType="end"/>
      </w:r>
    </w:p>
    <w:p w:rsidR="00147266" w:rsidP="00147266">
      <w:pPr>
        <w:pStyle w:val="Version"/>
        <w:sectPr w:rsidSect="006F1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E34" w:rsidP="006F1E34">
      <w:pPr>
        <w:pStyle w:val="SuperHeading"/>
      </w:pPr>
      <w:r w:rsidRPr="006F1E34">
        <w:t>Assessment Requirements for SIFEMWK014 Perform arterial embalming of natural cases</w:t>
      </w:r>
    </w:p>
    <w:p w:rsidR="00000000" w:rsidRPr="006F1E34" w:rsidP="006F1E34">
      <w:pPr>
        <w:pStyle w:val="Heading1"/>
      </w:pPr>
      <w:bookmarkStart w:id="1" w:name="O_577912"/>
      <w:bookmarkEnd w:id="1"/>
      <w:r w:rsidRPr="006F1E34">
        <w:t>Modification History</w:t>
      </w:r>
    </w:p>
    <w:p w:rsidR="00000000" w:rsidRPr="006F1E34" w:rsidP="00147266">
      <w:pPr>
        <w:pStyle w:val="BodyText"/>
      </w:pPr>
      <w:r w:rsidRPr="006F1E34">
        <w:t>Not applicable.</w:t>
      </w:r>
    </w:p>
    <w:p w:rsidR="00000000" w:rsidRPr="006F1E34" w:rsidP="006F1E34">
      <w:pPr>
        <w:pStyle w:val="Heading1"/>
      </w:pPr>
      <w:bookmarkStart w:id="2" w:name="O_577913"/>
      <w:bookmarkEnd w:id="2"/>
      <w:r w:rsidRPr="006F1E34">
        <w:t>Performance Evidence</w:t>
      </w:r>
    </w:p>
    <w:p w:rsidR="00000000" w:rsidRPr="006F1E34" w:rsidP="00147266">
      <w:pPr>
        <w:pStyle w:val="BodyText"/>
      </w:pPr>
      <w:r w:rsidRPr="006F1E34">
        <w:t>Evidence of the ability to:</w:t>
      </w:r>
    </w:p>
    <w:p w:rsidR="00000000" w:rsidRPr="006F1E34" w:rsidP="006F1E34">
      <w:pPr>
        <w:pStyle w:val="ListBullet"/>
      </w:pPr>
      <w:r w:rsidRPr="006F1E34">
        <w:t xml:space="preserve">identify treatment requirements through a pre-embalming case analysis </w:t>
      </w:r>
    </w:p>
    <w:p w:rsidR="00000000" w:rsidRPr="006F1E34" w:rsidP="006F1E34">
      <w:pPr>
        <w:pStyle w:val="ListBullet"/>
      </w:pPr>
      <w:r w:rsidRPr="006F1E34">
        <w:t>perform arterial treatments using correct techniques, following work health and safety/occupational health and safety and infection control practices</w:t>
      </w:r>
    </w:p>
    <w:p w:rsidR="00000000" w:rsidRPr="006F1E34" w:rsidP="006F1E34">
      <w:pPr>
        <w:pStyle w:val="ListBullet"/>
      </w:pPr>
      <w:r w:rsidRPr="006F1E34">
        <w:t>prepare mortuary area and select an</w:t>
      </w:r>
      <w:r w:rsidRPr="006F1E34">
        <w:t xml:space="preserve">d use the required instruments and equipment </w:t>
      </w:r>
    </w:p>
    <w:p w:rsidR="00000000" w:rsidRPr="006F1E34" w:rsidP="006F1E34">
      <w:pPr>
        <w:pStyle w:val="ListBullet"/>
      </w:pPr>
      <w:r w:rsidRPr="006F1E34">
        <w:t>clean, disinfect and sterilise the mortuary area, instruments and equipment and complete case analysis report at conclusion of the treatment.</w:t>
      </w:r>
    </w:p>
    <w:p w:rsidR="00000000" w:rsidRPr="006F1E34" w:rsidP="006F1E34">
      <w:pPr>
        <w:pStyle w:val="BodyText"/>
      </w:pPr>
    </w:p>
    <w:p w:rsidR="00000000" w:rsidRPr="006F1E34" w:rsidP="00147266">
      <w:pPr>
        <w:pStyle w:val="BodyText"/>
      </w:pPr>
      <w:r w:rsidRPr="006F1E34">
        <w:t>Evidence of performance of performing arterial treatment of natural</w:t>
      </w:r>
      <w:r w:rsidRPr="006F1E34">
        <w:t xml:space="preserve"> cases of different body conditions on twenty or more occasions is required to demonstrate consistency of performance and ability to respond to different situations.</w:t>
      </w:r>
    </w:p>
    <w:p w:rsidR="00000000" w:rsidRPr="006F1E34" w:rsidP="006F1E34">
      <w:pPr>
        <w:pStyle w:val="Heading1"/>
      </w:pPr>
      <w:bookmarkStart w:id="3" w:name="O_577914"/>
      <w:bookmarkEnd w:id="3"/>
      <w:r w:rsidRPr="006F1E34">
        <w:t>Knowledge Evidence</w:t>
      </w:r>
    </w:p>
    <w:p w:rsidR="00000000" w:rsidRPr="006F1E34" w:rsidP="00147266">
      <w:pPr>
        <w:pStyle w:val="BodyText"/>
      </w:pPr>
      <w:r w:rsidRPr="006F1E34">
        <w:t>Demonstrated knowledge of:</w:t>
      </w:r>
    </w:p>
    <w:p w:rsidR="00000000" w:rsidRPr="006F1E34" w:rsidP="006F1E34">
      <w:pPr>
        <w:pStyle w:val="ListBullet"/>
      </w:pPr>
      <w:r w:rsidRPr="006F1E34">
        <w:t>requirements for preparing</w:t>
      </w:r>
      <w:r w:rsidRPr="006F1E34">
        <w:t xml:space="preserve"> the mortuary facility </w:t>
      </w:r>
    </w:p>
    <w:p w:rsidR="00000000" w:rsidRPr="006F1E34" w:rsidP="006F1E34">
      <w:pPr>
        <w:pStyle w:val="ListBullet"/>
      </w:pPr>
      <w:r w:rsidRPr="006F1E34">
        <w:t>mortuary equipment, instruments and materials and their associated uses</w:t>
      </w:r>
    </w:p>
    <w:p w:rsidR="00000000" w:rsidRPr="006F1E34" w:rsidP="006F1E34">
      <w:pPr>
        <w:pStyle w:val="ListBullet"/>
      </w:pPr>
      <w:r w:rsidRPr="006F1E34">
        <w:t>process for body examination using non-invasive observation techniques, including:</w:t>
      </w:r>
    </w:p>
    <w:p w:rsidR="00000000" w:rsidRPr="006F1E34" w:rsidP="006F1E34">
      <w:pPr>
        <w:pStyle w:val="ListBullet2"/>
      </w:pPr>
      <w:r w:rsidRPr="006F1E34">
        <w:t>checking for no pulse</w:t>
      </w:r>
    </w:p>
    <w:p w:rsidR="00000000" w:rsidRPr="006F1E34" w:rsidP="006F1E34">
      <w:pPr>
        <w:pStyle w:val="ListBullet2"/>
      </w:pPr>
      <w:r w:rsidRPr="006F1E34">
        <w:t>looking for fixed and dilated pupils</w:t>
      </w:r>
    </w:p>
    <w:p w:rsidR="00000000" w:rsidRPr="006F1E34" w:rsidP="006F1E34">
      <w:pPr>
        <w:pStyle w:val="ListBullet"/>
      </w:pPr>
      <w:r w:rsidRPr="006F1E34">
        <w:t>circulatory and lymphatic systems in terms of their importance to embalming</w:t>
      </w:r>
    </w:p>
    <w:p w:rsidR="00000000" w:rsidRPr="006F1E34" w:rsidP="006F1E34">
      <w:pPr>
        <w:pStyle w:val="ListBullet"/>
      </w:pPr>
      <w:r w:rsidRPr="006F1E34">
        <w:t>arterial sites used for injecting embalming fluid</w:t>
      </w:r>
    </w:p>
    <w:p w:rsidR="00000000" w:rsidRPr="006F1E34" w:rsidP="006F1E34">
      <w:pPr>
        <w:pStyle w:val="ListBullet"/>
      </w:pPr>
      <w:r w:rsidRPr="006F1E34">
        <w:t>physical and chemical changes that occur after death and their possible impact on the embalming process</w:t>
      </w:r>
    </w:p>
    <w:p w:rsidR="00000000" w:rsidRPr="006F1E34" w:rsidP="006F1E34">
      <w:pPr>
        <w:pStyle w:val="ListBullet"/>
      </w:pPr>
      <w:r w:rsidRPr="006F1E34">
        <w:t>effects of embalming on va</w:t>
      </w:r>
      <w:r w:rsidRPr="006F1E34">
        <w:t>rious causes of death, medical treatments and procedures</w:t>
      </w:r>
    </w:p>
    <w:p w:rsidR="00000000" w:rsidRPr="006F1E34" w:rsidP="006F1E34">
      <w:pPr>
        <w:pStyle w:val="ListBullet"/>
      </w:pPr>
      <w:r w:rsidRPr="006F1E34">
        <w:t>embalming implications for different types of body conditions including babies and infants up to 2 years of ages, including:</w:t>
      </w:r>
    </w:p>
    <w:p w:rsidR="00000000" w:rsidRPr="006F1E34" w:rsidP="006F1E34">
      <w:pPr>
        <w:pStyle w:val="ListBullet2"/>
      </w:pPr>
      <w:r w:rsidRPr="006F1E34">
        <w:t>order for preparation</w:t>
      </w:r>
    </w:p>
    <w:p w:rsidR="00000000" w:rsidRPr="006F1E34" w:rsidP="006F1E34">
      <w:pPr>
        <w:pStyle w:val="ListBullet2"/>
      </w:pPr>
      <w:r w:rsidRPr="006F1E34">
        <w:t>fluid strength</w:t>
      </w:r>
    </w:p>
    <w:p w:rsidR="00000000" w:rsidRPr="006F1E34" w:rsidP="006F1E34">
      <w:pPr>
        <w:pStyle w:val="ListBullet2"/>
      </w:pPr>
      <w:r w:rsidRPr="006F1E34">
        <w:t>use of dyes</w:t>
      </w:r>
    </w:p>
    <w:p w:rsidR="00000000" w:rsidRPr="006F1E34" w:rsidP="006F1E34">
      <w:pPr>
        <w:pStyle w:val="ListBullet2"/>
      </w:pPr>
      <w:r w:rsidRPr="006F1E34">
        <w:t>pressure and rates of fl</w:t>
      </w:r>
      <w:r w:rsidRPr="006F1E34">
        <w:t>ow</w:t>
      </w:r>
    </w:p>
    <w:p w:rsidR="00000000" w:rsidRPr="006F1E34" w:rsidP="006F1E34">
      <w:pPr>
        <w:pStyle w:val="ListBullet2"/>
      </w:pPr>
      <w:r w:rsidRPr="006F1E34">
        <w:t>drainage</w:t>
      </w:r>
    </w:p>
    <w:p w:rsidR="00000000" w:rsidRPr="006F1E34" w:rsidP="006F1E34">
      <w:pPr>
        <w:pStyle w:val="ListBullet2"/>
      </w:pPr>
      <w:r w:rsidRPr="006F1E34">
        <w:t>techniques for dealing with conditions:</w:t>
      </w:r>
    </w:p>
    <w:p w:rsidR="00000000" w:rsidRPr="006F1E34" w:rsidP="006F1E34">
      <w:pPr>
        <w:pStyle w:val="ListBullet3"/>
      </w:pPr>
      <w:r w:rsidRPr="006F1E34">
        <w:t>emaciation</w:t>
      </w:r>
    </w:p>
    <w:p w:rsidR="00000000" w:rsidRPr="006F1E34" w:rsidP="006F1E34">
      <w:pPr>
        <w:pStyle w:val="ListBullet3"/>
      </w:pPr>
      <w:r w:rsidRPr="006F1E34">
        <w:t>oedema</w:t>
      </w:r>
    </w:p>
    <w:p w:rsidR="00000000" w:rsidRPr="006F1E34" w:rsidP="006F1E34">
      <w:pPr>
        <w:pStyle w:val="ListBullet3"/>
      </w:pPr>
      <w:r w:rsidRPr="006F1E34">
        <w:t>jaundice</w:t>
      </w:r>
    </w:p>
    <w:p w:rsidR="00000000" w:rsidRPr="006F1E34" w:rsidP="006F1E34">
      <w:pPr>
        <w:pStyle w:val="ListBullet3"/>
      </w:pPr>
      <w:r w:rsidRPr="006F1E34">
        <w:t>bariatric</w:t>
      </w:r>
    </w:p>
    <w:p w:rsidR="00000000" w:rsidRPr="006F1E34" w:rsidP="006F1E34">
      <w:pPr>
        <w:pStyle w:val="ListBullet"/>
      </w:pPr>
      <w:r w:rsidRPr="006F1E34">
        <w:t>range of invasive and non</w:t>
      </w:r>
      <w:r w:rsidRPr="006F1E34">
        <w:noBreakHyphen/>
        <w:t>invasive medical paraphernalia</w:t>
      </w:r>
    </w:p>
    <w:p w:rsidR="00000000" w:rsidRPr="006F1E34" w:rsidP="006F1E34">
      <w:pPr>
        <w:pStyle w:val="ListBullet"/>
      </w:pPr>
      <w:r w:rsidRPr="006F1E34">
        <w:t>anatomical and linear guides used for selected injection sites</w:t>
      </w:r>
    </w:p>
    <w:p w:rsidR="00000000" w:rsidRPr="006F1E34" w:rsidP="006F1E34">
      <w:pPr>
        <w:pStyle w:val="ListBullet"/>
      </w:pPr>
      <w:r w:rsidRPr="006F1E34">
        <w:t>alternative treatments for areas not reached by arterial fluid that may include hypodermic injection, internal packs, preservative gels and external gels</w:t>
      </w:r>
    </w:p>
    <w:p w:rsidR="00000000" w:rsidRPr="006F1E34" w:rsidP="006F1E34">
      <w:pPr>
        <w:pStyle w:val="ListBullet"/>
      </w:pPr>
      <w:r w:rsidRPr="006F1E34">
        <w:t>venous sites used for draining venous fluids</w:t>
      </w:r>
    </w:p>
    <w:p w:rsidR="00000000" w:rsidRPr="006F1E34" w:rsidP="006F1E34">
      <w:pPr>
        <w:pStyle w:val="ListBullet"/>
      </w:pPr>
      <w:r w:rsidRPr="006F1E34">
        <w:t>various suture techniques used</w:t>
      </w:r>
    </w:p>
    <w:p w:rsidR="00000000" w:rsidRPr="006F1E34" w:rsidP="006F1E34">
      <w:pPr>
        <w:pStyle w:val="ListBullet"/>
      </w:pPr>
      <w:r w:rsidRPr="006F1E34">
        <w:t xml:space="preserve">funeral services industry </w:t>
      </w:r>
      <w:r w:rsidRPr="006F1E34">
        <w:t>parameters and protocols for dealing with the deceased, including social, cultural and religious considerations</w:t>
      </w:r>
    </w:p>
    <w:p w:rsidR="00000000" w:rsidRPr="006F1E34" w:rsidP="006F1E34">
      <w:pPr>
        <w:pStyle w:val="ListBullet"/>
      </w:pPr>
      <w:r w:rsidRPr="006F1E34">
        <w:t>federal, state or territory, and local government legislation and regulations in relevant to work health and safety/occupational health and safe</w:t>
      </w:r>
      <w:r w:rsidRPr="006F1E34">
        <w:t>ty, infection control and handling human remains</w:t>
      </w:r>
    </w:p>
    <w:p w:rsidR="00000000" w:rsidRPr="006F1E34" w:rsidP="006F1E34">
      <w:pPr>
        <w:pStyle w:val="ListBullet"/>
      </w:pPr>
      <w:r w:rsidRPr="006F1E34">
        <w:t>environmental impacts regarding embalming procedures and minimal impact practices to reduce these</w:t>
      </w:r>
    </w:p>
    <w:p w:rsidR="00000000" w:rsidRPr="006F1E34" w:rsidP="006F1E34">
      <w:pPr>
        <w:pStyle w:val="ListBullet"/>
      </w:pPr>
      <w:r w:rsidRPr="006F1E34">
        <w:t>environmentally sound disposal methods for all types of waste and in particular for hazardous substances</w:t>
      </w:r>
    </w:p>
    <w:p w:rsidR="00000000" w:rsidRPr="006F1E34" w:rsidP="006F1E34">
      <w:pPr>
        <w:pStyle w:val="ListBullet"/>
      </w:pPr>
      <w:r w:rsidRPr="006F1E34">
        <w:t>work</w:t>
      </w:r>
      <w:r w:rsidRPr="006F1E34">
        <w:t>place policies and procedures in relation to performing arterial embalming.</w:t>
      </w:r>
    </w:p>
    <w:p w:rsidR="00000000" w:rsidRPr="006F1E34" w:rsidP="006F1E34">
      <w:pPr>
        <w:pStyle w:val="AllowPageBreak"/>
      </w:pPr>
    </w:p>
    <w:p w:rsidR="00000000" w:rsidRPr="006F1E34" w:rsidP="006F1E34">
      <w:pPr>
        <w:pStyle w:val="Heading1"/>
      </w:pPr>
      <w:bookmarkStart w:id="4" w:name="O_577915"/>
      <w:bookmarkEnd w:id="4"/>
      <w:r w:rsidRPr="006F1E34">
        <w:t>Assessment Conditions</w:t>
      </w:r>
    </w:p>
    <w:p w:rsidR="00000000" w:rsidRPr="006F1E34" w:rsidP="00147266">
      <w:pPr>
        <w:pStyle w:val="BodyText"/>
      </w:pPr>
      <w:r w:rsidRPr="006F1E34">
        <w:t>Skills must be demonstrated in a mortuary workplace:</w:t>
      </w:r>
    </w:p>
    <w:p w:rsidR="00000000" w:rsidRPr="006F1E34" w:rsidP="006F1E34">
      <w:pPr>
        <w:pStyle w:val="ListBullet"/>
      </w:pPr>
      <w:r w:rsidRPr="006F1E34">
        <w:t>using suitable equipment and resources, including:</w:t>
      </w:r>
    </w:p>
    <w:p w:rsidR="00000000" w:rsidRPr="006F1E34" w:rsidP="006F1E34">
      <w:pPr>
        <w:pStyle w:val="ListBullet2"/>
      </w:pPr>
      <w:r w:rsidRPr="006F1E34">
        <w:t>deceased bodies of natural cases requiring arterial embalming</w:t>
      </w:r>
    </w:p>
    <w:p w:rsidR="00000000" w:rsidRPr="006F1E34" w:rsidP="006F1E34">
      <w:pPr>
        <w:pStyle w:val="ListBullet2"/>
      </w:pPr>
      <w:r w:rsidRPr="006F1E34">
        <w:t>mortuary instruments and equipment including personal protective equipment, chemicals and cleansing and disinfecting products</w:t>
      </w:r>
    </w:p>
    <w:p w:rsidR="00000000" w:rsidRPr="006F1E34" w:rsidP="006F1E34">
      <w:pPr>
        <w:pStyle w:val="ListBullet"/>
      </w:pPr>
      <w:r w:rsidRPr="006F1E34">
        <w:t>under industry operating conditions where there is:</w:t>
      </w:r>
    </w:p>
    <w:p w:rsidR="00000000" w:rsidRPr="006F1E34" w:rsidP="006F1E34">
      <w:pPr>
        <w:pStyle w:val="ListBullet2"/>
      </w:pPr>
      <w:r w:rsidRPr="006F1E34">
        <w:t>integration of</w:t>
      </w:r>
      <w:r w:rsidRPr="006F1E34">
        <w:t xml:space="preserve"> tasks with possible interruptions to work typical of the job role </w:t>
      </w:r>
    </w:p>
    <w:p w:rsidR="00000000" w:rsidRPr="006F1E34" w:rsidP="006F1E34">
      <w:pPr>
        <w:pStyle w:val="ListBullet2"/>
      </w:pPr>
      <w:r w:rsidRPr="006F1E34">
        <w:t xml:space="preserve">speed and timing requirements that reflect commercial operating conditions </w:t>
      </w:r>
    </w:p>
    <w:p w:rsidR="00000000" w:rsidRPr="006F1E34" w:rsidP="006F1E34">
      <w:pPr>
        <w:pStyle w:val="BodyText"/>
      </w:pPr>
    </w:p>
    <w:p w:rsidR="00000000" w:rsidRPr="006F1E34" w:rsidP="00147266">
      <w:pPr>
        <w:pStyle w:val="BodyText"/>
      </w:pPr>
      <w:r w:rsidRPr="006F1E34">
        <w:t>As well as satisfying the NVR/AQTF mandatory competency requirements, assessors must also hold formal qualifica</w:t>
      </w:r>
      <w:r w:rsidRPr="006F1E34">
        <w:t>tions as an embalmer.</w:t>
      </w:r>
    </w:p>
    <w:p w:rsidR="00000000" w:rsidRPr="006F1E34" w:rsidP="006F1E34">
      <w:pPr>
        <w:pStyle w:val="Heading1"/>
      </w:pPr>
      <w:bookmarkStart w:id="5" w:name="O_577917"/>
      <w:bookmarkEnd w:id="5"/>
      <w:r w:rsidRPr="006F1E34">
        <w:t>Links</w:t>
      </w:r>
    </w:p>
    <w:p w:rsidR="00000000" w:rsidRPr="006F1E34" w:rsidP="00147266">
      <w:pPr>
        <w:pStyle w:val="BodyText"/>
      </w:pPr>
      <w:r w:rsidRPr="006F1E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D243F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6F1E34" w:rsidP="006F1E34"/>
    <w:sectPr w:rsidSect="006F1E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34" w:rsidRPr="00147266" w:rsidP="00147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66" w:rsidP="006F1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7266" w:rsidP="006F1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7266" w:rsidP="006F1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E34" w:rsidRPr="00147266" w:rsidP="00147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66" w:rsidRPr="002D2AF8" w:rsidP="006F1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SIFEMWK014 Perform arterial embalming of natural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147266" w:rsidP="006F1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7AA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7AB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F2A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E34"/>
  </w:style>
  <w:style w:type="character" w:customStyle="1" w:styleId="Heading1Char">
    <w:name w:val="Heading 1 Char"/>
    <w:basedOn w:val="DefaultParagraphFont"/>
    <w:link w:val="Heading1"/>
    <w:rsid w:val="006F1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E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E3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1E3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1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1E3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1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E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E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1E34"/>
    <w:rPr>
      <w:b/>
      <w:spacing w:val="0"/>
    </w:rPr>
  </w:style>
  <w:style w:type="paragraph" w:customStyle="1" w:styleId="SuperTitle">
    <w:name w:val="SuperTitle"/>
    <w:basedOn w:val="Title"/>
    <w:rsid w:val="006F1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1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E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E34"/>
    <w:rPr>
      <w:i/>
    </w:rPr>
  </w:style>
  <w:style w:type="paragraph" w:styleId="Caption">
    <w:name w:val="caption"/>
    <w:basedOn w:val="BodyText"/>
    <w:next w:val="Normal"/>
    <w:qFormat/>
    <w:rsid w:val="006F1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E34"/>
  </w:style>
  <w:style w:type="paragraph" w:styleId="TableofFigures">
    <w:name w:val="table of figures"/>
    <w:basedOn w:val="Normal"/>
    <w:next w:val="Normal"/>
    <w:semiHidden/>
    <w:rsid w:val="006F1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E3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1E34"/>
    <w:rPr>
      <w:rFonts w:ascii="Wingdings" w:hAnsi="Wingdings"/>
    </w:rPr>
  </w:style>
  <w:style w:type="paragraph" w:customStyle="1" w:styleId="TableHeading">
    <w:name w:val="Table Heading"/>
    <w:basedOn w:val="HeadingBase"/>
    <w:rsid w:val="006F1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E34"/>
    <w:rPr>
      <w:color w:val="0033CC"/>
      <w:u w:val="none"/>
    </w:rPr>
  </w:style>
  <w:style w:type="paragraph" w:customStyle="1" w:styleId="BodyTextRight">
    <w:name w:val="Body Text Right"/>
    <w:basedOn w:val="BodyText"/>
    <w:rsid w:val="006F1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E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E34"/>
    <w:rPr>
      <w:sz w:val="32"/>
    </w:rPr>
  </w:style>
  <w:style w:type="paragraph" w:customStyle="1" w:styleId="HeadingProcedure">
    <w:name w:val="Heading Procedure"/>
    <w:basedOn w:val="HeadingBase"/>
    <w:next w:val="Normal"/>
    <w:rsid w:val="006F1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E34"/>
    <w:pPr>
      <w:spacing w:before="60" w:after="60"/>
    </w:pPr>
  </w:style>
  <w:style w:type="paragraph" w:styleId="ListContinue">
    <w:name w:val="List Continue"/>
    <w:basedOn w:val="List"/>
    <w:rsid w:val="006F1E34"/>
    <w:pPr>
      <w:ind w:firstLine="0"/>
    </w:pPr>
  </w:style>
  <w:style w:type="paragraph" w:customStyle="1" w:styleId="ListNote">
    <w:name w:val="List Note"/>
    <w:basedOn w:val="List"/>
    <w:rsid w:val="006F1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E34"/>
    <w:rPr>
      <w:rFonts w:ascii="Courier New" w:hAnsi="Courier New"/>
    </w:rPr>
  </w:style>
  <w:style w:type="paragraph" w:customStyle="1" w:styleId="NoteBullet">
    <w:name w:val="Note Bullet"/>
    <w:basedOn w:val="Note"/>
    <w:rsid w:val="006F1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E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1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E34"/>
    <w:rPr>
      <w:b/>
      <w:smallCaps/>
    </w:rPr>
  </w:style>
  <w:style w:type="paragraph" w:customStyle="1" w:styleId="TableListNumber">
    <w:name w:val="Table List Number"/>
    <w:basedOn w:val="ListNumber"/>
    <w:rsid w:val="006F1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E34"/>
    <w:pPr>
      <w:numPr>
        <w:numId w:val="10"/>
      </w:numPr>
    </w:pPr>
  </w:style>
  <w:style w:type="paragraph" w:customStyle="1" w:styleId="ListAlpha2">
    <w:name w:val="List Alpha 2"/>
    <w:basedOn w:val="List2"/>
    <w:rsid w:val="006F1E34"/>
    <w:pPr>
      <w:numPr>
        <w:numId w:val="9"/>
      </w:numPr>
    </w:pPr>
  </w:style>
  <w:style w:type="paragraph" w:styleId="List2">
    <w:name w:val="List 2"/>
    <w:basedOn w:val="BodyText"/>
    <w:rsid w:val="006F1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E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1E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1E34"/>
    <w:pPr>
      <w:numPr>
        <w:numId w:val="5"/>
      </w:numPr>
    </w:pPr>
  </w:style>
  <w:style w:type="paragraph" w:styleId="ListContinue2">
    <w:name w:val="List Continue 2"/>
    <w:basedOn w:val="List2"/>
    <w:rsid w:val="006F1E34"/>
    <w:pPr>
      <w:ind w:firstLine="0"/>
    </w:pPr>
  </w:style>
  <w:style w:type="paragraph" w:styleId="ListContinue3">
    <w:name w:val="List Continue 3"/>
    <w:basedOn w:val="List3"/>
    <w:rsid w:val="006F1E34"/>
    <w:pPr>
      <w:ind w:left="1021" w:firstLine="0"/>
    </w:pPr>
  </w:style>
  <w:style w:type="paragraph" w:styleId="ListContinue4">
    <w:name w:val="List Continue 4"/>
    <w:basedOn w:val="List4"/>
    <w:rsid w:val="006F1E34"/>
    <w:pPr>
      <w:ind w:firstLine="0"/>
    </w:pPr>
  </w:style>
  <w:style w:type="paragraph" w:styleId="ListContinue5">
    <w:name w:val="List Continue 5"/>
    <w:basedOn w:val="List5"/>
    <w:rsid w:val="006F1E34"/>
    <w:pPr>
      <w:ind w:firstLine="0"/>
    </w:pPr>
  </w:style>
  <w:style w:type="paragraph" w:styleId="ListNumber3">
    <w:name w:val="List Number 3"/>
    <w:basedOn w:val="List3"/>
    <w:rsid w:val="006F1E34"/>
    <w:pPr>
      <w:numPr>
        <w:numId w:val="6"/>
      </w:numPr>
    </w:pPr>
  </w:style>
  <w:style w:type="paragraph" w:styleId="ListNumber4">
    <w:name w:val="List Number 4"/>
    <w:basedOn w:val="List4"/>
    <w:rsid w:val="006F1E34"/>
    <w:pPr>
      <w:numPr>
        <w:numId w:val="7"/>
      </w:numPr>
    </w:pPr>
  </w:style>
  <w:style w:type="paragraph" w:styleId="ListNumber5">
    <w:name w:val="List Number 5"/>
    <w:basedOn w:val="List5"/>
    <w:rsid w:val="006F1E34"/>
    <w:pPr>
      <w:numPr>
        <w:numId w:val="8"/>
      </w:numPr>
    </w:pPr>
  </w:style>
  <w:style w:type="paragraph" w:styleId="BlockText">
    <w:name w:val="Block Text"/>
    <w:basedOn w:val="Normal"/>
    <w:rsid w:val="006F1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E34"/>
    <w:rPr>
      <w:sz w:val="16"/>
      <w:vertAlign w:val="superscript"/>
    </w:rPr>
  </w:style>
  <w:style w:type="character" w:customStyle="1" w:styleId="Symbols">
    <w:name w:val="Symbols"/>
    <w:basedOn w:val="DefaultParagraphFont"/>
    <w:rsid w:val="006F1E34"/>
    <w:rPr>
      <w:rFonts w:ascii="Symbol" w:hAnsi="Symbol"/>
    </w:rPr>
  </w:style>
  <w:style w:type="character" w:customStyle="1" w:styleId="MenuOptions">
    <w:name w:val="Menu Options"/>
    <w:basedOn w:val="DefaultParagraphFont"/>
    <w:rsid w:val="006F1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E34"/>
    <w:rPr>
      <w:b/>
    </w:rPr>
  </w:style>
  <w:style w:type="character" w:customStyle="1" w:styleId="Underlined">
    <w:name w:val="Underlined"/>
    <w:basedOn w:val="DefaultParagraphFont"/>
    <w:rsid w:val="006F1E34"/>
    <w:rPr>
      <w:u w:val="single"/>
    </w:rPr>
  </w:style>
  <w:style w:type="paragraph" w:customStyle="1" w:styleId="TableBodyTextRight">
    <w:name w:val="Table Body Text Right"/>
    <w:basedOn w:val="TableBodyText"/>
    <w:rsid w:val="006F1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E34"/>
    <w:rPr>
      <w:sz w:val="18"/>
    </w:rPr>
  </w:style>
  <w:style w:type="paragraph" w:customStyle="1" w:styleId="BodySmallRight">
    <w:name w:val="Body Small Right"/>
    <w:basedOn w:val="BodyTextRight"/>
    <w:rsid w:val="006F1E34"/>
    <w:rPr>
      <w:sz w:val="18"/>
      <w:szCs w:val="18"/>
    </w:rPr>
  </w:style>
  <w:style w:type="paragraph" w:customStyle="1" w:styleId="MarginEdition">
    <w:name w:val="Margin Edition"/>
    <w:basedOn w:val="MarginNote"/>
    <w:rsid w:val="006F1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E34"/>
    <w:rPr>
      <w:sz w:val="2"/>
      <w:szCs w:val="2"/>
    </w:rPr>
  </w:style>
  <w:style w:type="character" w:customStyle="1" w:styleId="Small">
    <w:name w:val="Small"/>
    <w:basedOn w:val="DefaultParagraphFont"/>
    <w:rsid w:val="006F1E34"/>
    <w:rPr>
      <w:sz w:val="16"/>
    </w:rPr>
  </w:style>
  <w:style w:type="paragraph" w:customStyle="1" w:styleId="WideTable">
    <w:name w:val="Wide Table"/>
    <w:basedOn w:val="Normal"/>
    <w:rsid w:val="006F1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E34"/>
  </w:style>
  <w:style w:type="paragraph" w:styleId="Quote">
    <w:name w:val="Quote"/>
    <w:basedOn w:val="Heading1"/>
    <w:link w:val="QuoteChar"/>
    <w:qFormat/>
    <w:rsid w:val="006F1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E34"/>
    <w:pPr>
      <w:pageBreakBefore/>
    </w:pPr>
  </w:style>
  <w:style w:type="paragraph" w:customStyle="1" w:styleId="Border">
    <w:name w:val="Border"/>
    <w:basedOn w:val="Normal"/>
    <w:qFormat/>
    <w:rsid w:val="006F1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E34"/>
    <w:rPr>
      <w:u w:val="single"/>
    </w:rPr>
  </w:style>
  <w:style w:type="character" w:customStyle="1" w:styleId="BoldandItalics">
    <w:name w:val="Bold and Italics"/>
    <w:qFormat/>
    <w:rsid w:val="006F1E34"/>
    <w:rPr>
      <w:b/>
      <w:i/>
      <w:u w:val="none"/>
    </w:rPr>
  </w:style>
  <w:style w:type="paragraph" w:styleId="BalloonText">
    <w:name w:val="Balloon Text"/>
    <w:basedOn w:val="Normal"/>
    <w:link w:val="BalloonTextChar"/>
    <w:rsid w:val="006F1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E34"/>
    <w:pPr>
      <w:spacing w:before="0" w:after="0"/>
    </w:pPr>
  </w:style>
  <w:style w:type="paragraph" w:customStyle="1" w:styleId="BodyTextBold">
    <w:name w:val="Body Text Bold"/>
    <w:basedOn w:val="BodyText"/>
    <w:qFormat/>
    <w:rsid w:val="006F1E34"/>
    <w:rPr>
      <w:b/>
    </w:rPr>
  </w:style>
  <w:style w:type="character" w:styleId="Hyperlink">
    <w:name w:val="Hyperlink"/>
    <w:basedOn w:val="DefaultParagraphFont"/>
    <w:uiPriority w:val="99"/>
    <w:unhideWhenUsed/>
    <w:rsid w:val="00147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3304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SIFEMWK014 Perform arterial embalming of natural cases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