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E53" w:rsidP="00954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SIFEMWK013 Determine embalming requirements</w:t>
      </w:r>
      <w:r>
        <w:fldChar w:fldCharType="end"/>
      </w:r>
    </w:p>
    <w:p w:rsidR="00954E53" w:rsidP="00954E53">
      <w:pPr>
        <w:pStyle w:val="Version"/>
        <w:sectPr w:rsidSect="00236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F1F" w:rsidP="00236F1F">
      <w:pPr>
        <w:pStyle w:val="SuperHeading"/>
      </w:pPr>
      <w:r w:rsidRPr="00236F1F">
        <w:t>Assessment Requirements for SIFEMWK013 Determine embalming requirements</w:t>
      </w:r>
    </w:p>
    <w:p w:rsidR="00000000" w:rsidRPr="00236F1F" w:rsidP="00236F1F">
      <w:pPr>
        <w:pStyle w:val="Heading1"/>
      </w:pPr>
      <w:bookmarkStart w:id="1" w:name="O_577893"/>
      <w:bookmarkEnd w:id="1"/>
      <w:r w:rsidRPr="00236F1F">
        <w:t>Modification History</w:t>
      </w:r>
    </w:p>
    <w:p w:rsidR="00000000" w:rsidRPr="00236F1F" w:rsidP="00954E53">
      <w:pPr>
        <w:pStyle w:val="BodyText"/>
      </w:pPr>
      <w:r w:rsidRPr="00236F1F">
        <w:t>Not applicable.</w:t>
      </w:r>
    </w:p>
    <w:p w:rsidR="00000000" w:rsidRPr="00236F1F" w:rsidP="00236F1F">
      <w:pPr>
        <w:pStyle w:val="Heading1"/>
      </w:pPr>
      <w:bookmarkStart w:id="2" w:name="O_577894"/>
      <w:bookmarkEnd w:id="2"/>
      <w:r w:rsidRPr="00236F1F">
        <w:t>Performance Evidence</w:t>
      </w:r>
    </w:p>
    <w:p w:rsidR="00000000" w:rsidRPr="00236F1F" w:rsidP="00954E53">
      <w:pPr>
        <w:pStyle w:val="BodyText"/>
      </w:pPr>
      <w:r w:rsidRPr="00236F1F">
        <w:t>Evidence of the ability to:</w:t>
      </w:r>
    </w:p>
    <w:p w:rsidR="00000000" w:rsidRPr="00236F1F" w:rsidP="00236F1F">
      <w:pPr>
        <w:pStyle w:val="ListBullet"/>
      </w:pPr>
      <w:r w:rsidRPr="00236F1F">
        <w:t>identify the deceased and confirm details against documentation</w:t>
      </w:r>
    </w:p>
    <w:p w:rsidR="00000000" w:rsidRPr="00236F1F" w:rsidP="00236F1F">
      <w:pPr>
        <w:pStyle w:val="ListBullet"/>
      </w:pPr>
      <w:r w:rsidRPr="00236F1F">
        <w:t>analyse the embalming requirements by examination and evaluate the treatments and effects for specified body conditions and problems</w:t>
      </w:r>
    </w:p>
    <w:p w:rsidR="00000000" w:rsidRPr="00236F1F" w:rsidP="00236F1F">
      <w:pPr>
        <w:pStyle w:val="ListBullet"/>
      </w:pPr>
      <w:r w:rsidRPr="00236F1F">
        <w:t>calculate fluid dilutions for specific conditions using appropriate formulas</w:t>
      </w:r>
    </w:p>
    <w:p w:rsidR="00000000" w:rsidRPr="00236F1F" w:rsidP="00236F1F">
      <w:pPr>
        <w:pStyle w:val="ListBullet"/>
      </w:pPr>
      <w:r w:rsidRPr="00236F1F">
        <w:t>determine the appropriate embalming technique</w:t>
      </w:r>
      <w:r w:rsidRPr="00236F1F">
        <w:t>s to be used and communicate these to mortuary staff advising of potential emotional issues.</w:t>
      </w:r>
    </w:p>
    <w:p w:rsidR="00000000" w:rsidRPr="00236F1F" w:rsidP="00236F1F">
      <w:pPr>
        <w:pStyle w:val="BodyText"/>
      </w:pPr>
    </w:p>
    <w:p w:rsidR="00000000" w:rsidRPr="00236F1F" w:rsidP="00954E53">
      <w:pPr>
        <w:pStyle w:val="BodyText"/>
      </w:pPr>
      <w:r w:rsidRPr="00236F1F">
        <w:t>Evidence of performance of determining embalming requirements of different cases on two or more occasions is required to demonstrate consistency of performance an</w:t>
      </w:r>
      <w:r w:rsidRPr="00236F1F">
        <w:t>d ability to respond to different situations.</w:t>
      </w:r>
    </w:p>
    <w:p w:rsidR="00000000" w:rsidRPr="00236F1F" w:rsidP="00236F1F">
      <w:pPr>
        <w:pStyle w:val="Heading1"/>
      </w:pPr>
      <w:bookmarkStart w:id="3" w:name="O_577895"/>
      <w:bookmarkEnd w:id="3"/>
      <w:r w:rsidRPr="00236F1F">
        <w:t>Knowledge Evidence</w:t>
      </w:r>
    </w:p>
    <w:p w:rsidR="00000000" w:rsidRPr="00236F1F" w:rsidP="00954E53">
      <w:pPr>
        <w:pStyle w:val="BodyText"/>
      </w:pPr>
      <w:r w:rsidRPr="00236F1F">
        <w:t>Demonstrated knowledge of:</w:t>
      </w:r>
    </w:p>
    <w:p w:rsidR="00000000" w:rsidRPr="00236F1F" w:rsidP="00236F1F">
      <w:pPr>
        <w:pStyle w:val="ListBullet"/>
      </w:pPr>
      <w:r w:rsidRPr="00236F1F">
        <w:t>documentation for determining embalming requirements, including:</w:t>
      </w:r>
    </w:p>
    <w:p w:rsidR="00000000" w:rsidRPr="00236F1F" w:rsidP="00236F1F">
      <w:pPr>
        <w:pStyle w:val="ListBullet2"/>
      </w:pPr>
      <w:r w:rsidRPr="00236F1F">
        <w:t>Medical Certificate or Certificate of Life Extinct</w:t>
      </w:r>
    </w:p>
    <w:p w:rsidR="00000000" w:rsidRPr="00236F1F" w:rsidP="00236F1F">
      <w:pPr>
        <w:pStyle w:val="ListBullet2"/>
      </w:pPr>
      <w:r w:rsidRPr="00236F1F">
        <w:t>coroner’s warrant</w:t>
      </w:r>
    </w:p>
    <w:p w:rsidR="00000000" w:rsidRPr="00236F1F" w:rsidP="00236F1F">
      <w:pPr>
        <w:pStyle w:val="ListBullet2"/>
      </w:pPr>
      <w:r w:rsidRPr="00236F1F">
        <w:t>medical report</w:t>
      </w:r>
    </w:p>
    <w:p w:rsidR="00000000" w:rsidRPr="00236F1F" w:rsidP="00236F1F">
      <w:pPr>
        <w:pStyle w:val="ListBullet2"/>
      </w:pPr>
      <w:r w:rsidRPr="00236F1F">
        <w:t>transfer instructions</w:t>
      </w:r>
    </w:p>
    <w:p w:rsidR="00000000" w:rsidRPr="00236F1F" w:rsidP="00236F1F">
      <w:pPr>
        <w:pStyle w:val="ListBullet2"/>
      </w:pPr>
      <w:r w:rsidRPr="00236F1F">
        <w:t>waterproof identification tag fixed securely to body</w:t>
      </w:r>
    </w:p>
    <w:p w:rsidR="00000000" w:rsidRPr="00236F1F" w:rsidP="00236F1F">
      <w:pPr>
        <w:pStyle w:val="ListBullet2"/>
      </w:pPr>
      <w:r w:rsidRPr="00236F1F">
        <w:t>list of personal property, including clothing and shoes for dressing the deceased</w:t>
      </w:r>
    </w:p>
    <w:p w:rsidR="00000000" w:rsidRPr="00236F1F" w:rsidP="00236F1F">
      <w:pPr>
        <w:pStyle w:val="ListBullet2"/>
      </w:pPr>
      <w:r w:rsidRPr="00236F1F">
        <w:t>receipts for jewellery and other valuables</w:t>
      </w:r>
    </w:p>
    <w:p w:rsidR="00000000" w:rsidRPr="00236F1F" w:rsidP="00236F1F">
      <w:pPr>
        <w:pStyle w:val="ListBullet2"/>
      </w:pPr>
      <w:r w:rsidRPr="00236F1F">
        <w:t>mortuary occupancy register</w:t>
      </w:r>
    </w:p>
    <w:p w:rsidR="00000000" w:rsidRPr="00236F1F" w:rsidP="00236F1F">
      <w:pPr>
        <w:pStyle w:val="ListBullet2"/>
      </w:pPr>
      <w:r w:rsidRPr="00236F1F">
        <w:t>embalming for</w:t>
      </w:r>
      <w:r w:rsidRPr="00236F1F">
        <w:t>m</w:t>
      </w:r>
    </w:p>
    <w:p w:rsidR="00000000" w:rsidRPr="00236F1F" w:rsidP="00236F1F">
      <w:pPr>
        <w:pStyle w:val="ListBullet"/>
      </w:pPr>
      <w:r w:rsidRPr="00236F1F">
        <w:t xml:space="preserve">requirements for preparing the mortuary facility </w:t>
      </w:r>
    </w:p>
    <w:p w:rsidR="00000000" w:rsidRPr="00236F1F" w:rsidP="00236F1F">
      <w:pPr>
        <w:pStyle w:val="ListBullet"/>
      </w:pPr>
      <w:r w:rsidRPr="00236F1F">
        <w:t>mortuary equipment, instruments and materials and their associated uses</w:t>
      </w:r>
    </w:p>
    <w:p w:rsidR="00000000" w:rsidRPr="00236F1F" w:rsidP="00236F1F">
      <w:pPr>
        <w:pStyle w:val="ListBullet"/>
      </w:pPr>
      <w:r w:rsidRPr="00236F1F">
        <w:t>process for body examination using non-invasive observation techniques, including:</w:t>
      </w:r>
    </w:p>
    <w:p w:rsidR="00000000" w:rsidRPr="00236F1F" w:rsidP="00236F1F">
      <w:pPr>
        <w:pStyle w:val="ListBullet2"/>
      </w:pPr>
      <w:r w:rsidRPr="00236F1F">
        <w:t>checking for no pulse</w:t>
      </w:r>
    </w:p>
    <w:p w:rsidR="00000000" w:rsidRPr="00236F1F" w:rsidP="00236F1F">
      <w:pPr>
        <w:pStyle w:val="ListBullet2"/>
      </w:pPr>
      <w:r w:rsidRPr="00236F1F">
        <w:t>looking for fixed and dil</w:t>
      </w:r>
      <w:r w:rsidRPr="00236F1F">
        <w:t>ated pupils</w:t>
      </w:r>
    </w:p>
    <w:p w:rsidR="00000000" w:rsidRPr="00236F1F" w:rsidP="00236F1F">
      <w:pPr>
        <w:pStyle w:val="ListBullet"/>
      </w:pPr>
      <w:r w:rsidRPr="00236F1F">
        <w:t>structures and functions of the systems of the body and the physical and chemical changes following death and their possible impact on the embalming process, including:</w:t>
      </w:r>
    </w:p>
    <w:p w:rsidR="00000000" w:rsidRPr="00236F1F" w:rsidP="00236F1F">
      <w:pPr>
        <w:pStyle w:val="ListBullet2"/>
      </w:pPr>
      <w:r w:rsidRPr="00236F1F">
        <w:t>body moisture content</w:t>
      </w:r>
    </w:p>
    <w:p w:rsidR="00000000" w:rsidRPr="00236F1F" w:rsidP="00236F1F">
      <w:pPr>
        <w:pStyle w:val="ListBullet2"/>
      </w:pPr>
      <w:r w:rsidRPr="00236F1F">
        <w:t>vascular problems</w:t>
      </w:r>
    </w:p>
    <w:p w:rsidR="00000000" w:rsidRPr="00236F1F" w:rsidP="00236F1F">
      <w:pPr>
        <w:pStyle w:val="ListBullet2"/>
      </w:pPr>
      <w:r w:rsidRPr="00236F1F">
        <w:t>delayed embalming</w:t>
      </w:r>
    </w:p>
    <w:p w:rsidR="00000000" w:rsidRPr="00236F1F" w:rsidP="00236F1F">
      <w:pPr>
        <w:pStyle w:val="ListBullet2"/>
      </w:pPr>
      <w:r w:rsidRPr="00236F1F">
        <w:t>discolouration</w:t>
      </w:r>
    </w:p>
    <w:p w:rsidR="00000000" w:rsidRPr="00236F1F" w:rsidP="00236F1F">
      <w:pPr>
        <w:pStyle w:val="ListBullet2"/>
      </w:pPr>
      <w:r w:rsidRPr="00236F1F">
        <w:t>exposure to drug therapies</w:t>
      </w:r>
    </w:p>
    <w:p w:rsidR="00000000" w:rsidRPr="00236F1F" w:rsidP="00236F1F">
      <w:pPr>
        <w:pStyle w:val="ListBullet2"/>
      </w:pPr>
      <w:r w:rsidRPr="00236F1F">
        <w:t>trauma</w:t>
      </w:r>
    </w:p>
    <w:p w:rsidR="00000000" w:rsidRPr="00236F1F" w:rsidP="00236F1F">
      <w:pPr>
        <w:pStyle w:val="ListBullet"/>
      </w:pPr>
      <w:r w:rsidRPr="00236F1F">
        <w:t>effects of embalming on various causes of death, medical treatments and procedures</w:t>
      </w:r>
    </w:p>
    <w:p w:rsidR="00000000" w:rsidRPr="00236F1F" w:rsidP="00236F1F">
      <w:pPr>
        <w:pStyle w:val="ListBullet"/>
      </w:pPr>
      <w:r w:rsidRPr="00236F1F">
        <w:t>funeral services industry parameters and protocols for dealing with the deceased, including social, cultural and religious considerations</w:t>
      </w:r>
    </w:p>
    <w:p w:rsidR="00000000" w:rsidRPr="00236F1F" w:rsidP="00236F1F">
      <w:pPr>
        <w:pStyle w:val="ListBullet"/>
      </w:pPr>
      <w:r w:rsidRPr="00236F1F">
        <w:t>federal, state or territory, and local government legislation and regulations in relevant to work health and safety/occupational health and safety, infection control and handling human remains</w:t>
      </w:r>
    </w:p>
    <w:p w:rsidR="00000000" w:rsidRPr="00236F1F" w:rsidP="00236F1F">
      <w:pPr>
        <w:pStyle w:val="ListBullet"/>
      </w:pPr>
      <w:r w:rsidRPr="00236F1F">
        <w:t>workplace policies and procedures in relation to determining em</w:t>
      </w:r>
      <w:r w:rsidRPr="00236F1F">
        <w:t>balming requirements.</w:t>
      </w:r>
    </w:p>
    <w:p w:rsidR="00000000" w:rsidRPr="00236F1F" w:rsidP="00236F1F">
      <w:pPr>
        <w:pStyle w:val="AllowPageBreak"/>
      </w:pPr>
    </w:p>
    <w:p w:rsidR="00000000" w:rsidRPr="00236F1F" w:rsidP="00236F1F">
      <w:pPr>
        <w:pStyle w:val="Heading1"/>
      </w:pPr>
      <w:bookmarkStart w:id="4" w:name="O_577896"/>
      <w:bookmarkEnd w:id="4"/>
      <w:r w:rsidRPr="00236F1F">
        <w:t>Assessment Conditions</w:t>
      </w:r>
    </w:p>
    <w:p w:rsidR="00000000" w:rsidRPr="00236F1F" w:rsidP="00954E53">
      <w:pPr>
        <w:pStyle w:val="BodyText"/>
      </w:pPr>
      <w:r w:rsidRPr="00236F1F">
        <w:t>Skills must be demonstrated in a mortuary workplace:</w:t>
      </w:r>
    </w:p>
    <w:p w:rsidR="00000000" w:rsidRPr="00236F1F" w:rsidP="00236F1F">
      <w:pPr>
        <w:pStyle w:val="ListBullet"/>
      </w:pPr>
      <w:r w:rsidRPr="00236F1F">
        <w:t>using suitable equipment and resources, including:</w:t>
      </w:r>
    </w:p>
    <w:p w:rsidR="00000000" w:rsidRPr="00236F1F" w:rsidP="00236F1F">
      <w:pPr>
        <w:pStyle w:val="ListBullet2"/>
      </w:pPr>
      <w:r w:rsidRPr="00236F1F">
        <w:t>deceased bodies</w:t>
      </w:r>
    </w:p>
    <w:p w:rsidR="00000000" w:rsidRPr="00236F1F" w:rsidP="00236F1F">
      <w:pPr>
        <w:pStyle w:val="ListBullet2"/>
      </w:pPr>
      <w:r w:rsidRPr="00236F1F">
        <w:t>mortuary instruments and equipment including personal protective equipment and cleansing and disinfecting products</w:t>
      </w:r>
    </w:p>
    <w:p w:rsidR="00000000" w:rsidRPr="00236F1F" w:rsidP="00236F1F">
      <w:pPr>
        <w:pStyle w:val="ListBullet"/>
      </w:pPr>
      <w:r w:rsidRPr="00236F1F">
        <w:t>under industry operating conditions where there is:</w:t>
      </w:r>
    </w:p>
    <w:p w:rsidR="00000000" w:rsidRPr="00236F1F" w:rsidP="00236F1F">
      <w:pPr>
        <w:pStyle w:val="ListBullet2"/>
      </w:pPr>
      <w:r w:rsidRPr="00236F1F">
        <w:t xml:space="preserve">integration of tasks with possible interruptions to work typical of the job role </w:t>
      </w:r>
    </w:p>
    <w:p w:rsidR="00000000" w:rsidRPr="00236F1F" w:rsidP="00236F1F">
      <w:pPr>
        <w:pStyle w:val="ListBullet2"/>
      </w:pPr>
      <w:r w:rsidRPr="00236F1F">
        <w:t>speed</w:t>
      </w:r>
      <w:r w:rsidRPr="00236F1F">
        <w:t xml:space="preserve"> and timing requirements that reflect commercial operating conditions </w:t>
      </w:r>
    </w:p>
    <w:p w:rsidR="00000000" w:rsidRPr="00236F1F" w:rsidP="00236F1F">
      <w:pPr>
        <w:pStyle w:val="ListBullet2"/>
      </w:pPr>
      <w:r w:rsidRPr="00236F1F">
        <w:t>interaction with team members</w:t>
      </w:r>
    </w:p>
    <w:p w:rsidR="00000000" w:rsidRPr="00236F1F" w:rsidP="00236F1F">
      <w:pPr>
        <w:pStyle w:val="BodyText"/>
      </w:pPr>
    </w:p>
    <w:p w:rsidR="00000000" w:rsidRPr="00236F1F" w:rsidP="00954E53">
      <w:pPr>
        <w:pStyle w:val="BodyText"/>
      </w:pPr>
      <w:r w:rsidRPr="00236F1F">
        <w:t>As well as satisfying the NVR/AQTF mandatory competency requirements, assessors must also hold formal qualifications as an embalmer.</w:t>
      </w:r>
    </w:p>
    <w:p w:rsidR="00000000" w:rsidRPr="00236F1F" w:rsidP="00236F1F">
      <w:pPr>
        <w:pStyle w:val="Heading1"/>
      </w:pPr>
      <w:bookmarkStart w:id="5" w:name="O_577898"/>
      <w:bookmarkEnd w:id="5"/>
      <w:r w:rsidRPr="00236F1F">
        <w:t>Link</w:t>
      </w:r>
      <w:r w:rsidRPr="00236F1F">
        <w:t>s</w:t>
      </w:r>
    </w:p>
    <w:p w:rsidR="00000000" w:rsidRPr="00236F1F" w:rsidP="00954E53">
      <w:pPr>
        <w:pStyle w:val="BodyText"/>
      </w:pPr>
      <w:r w:rsidRPr="00236F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9343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36F1F" w:rsidP="00236F1F"/>
    <w:sectPr w:rsidSect="00236F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1F" w:rsidRPr="00954E53" w:rsidP="00954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E53" w:rsidP="00236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4E53" w:rsidP="00236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54E53" w:rsidP="00236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F1F" w:rsidRPr="00954E53" w:rsidP="00954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E53" w:rsidRPr="002D2AF8" w:rsidP="00236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SIFEMWK013 Determine embalming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954E53" w:rsidP="00236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C2E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3AC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D826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F1F"/>
  </w:style>
  <w:style w:type="character" w:customStyle="1" w:styleId="Heading1Char">
    <w:name w:val="Heading 1 Char"/>
    <w:basedOn w:val="DefaultParagraphFont"/>
    <w:link w:val="Heading1"/>
    <w:rsid w:val="00236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F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F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6F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6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6F1F"/>
    <w:rPr>
      <w:b/>
      <w:spacing w:val="0"/>
    </w:rPr>
  </w:style>
  <w:style w:type="paragraph" w:customStyle="1" w:styleId="SuperTitle">
    <w:name w:val="SuperTitle"/>
    <w:basedOn w:val="Title"/>
    <w:rsid w:val="00236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6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F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F1F"/>
    <w:rPr>
      <w:i/>
    </w:rPr>
  </w:style>
  <w:style w:type="paragraph" w:styleId="Caption">
    <w:name w:val="caption"/>
    <w:basedOn w:val="BodyText"/>
    <w:next w:val="Normal"/>
    <w:qFormat/>
    <w:rsid w:val="00236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F1F"/>
  </w:style>
  <w:style w:type="paragraph" w:styleId="TableofFigures">
    <w:name w:val="table of figures"/>
    <w:basedOn w:val="Normal"/>
    <w:next w:val="Normal"/>
    <w:semiHidden/>
    <w:rsid w:val="00236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F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6F1F"/>
    <w:rPr>
      <w:rFonts w:ascii="Wingdings" w:hAnsi="Wingdings"/>
    </w:rPr>
  </w:style>
  <w:style w:type="paragraph" w:customStyle="1" w:styleId="TableHeading">
    <w:name w:val="Table Heading"/>
    <w:basedOn w:val="HeadingBase"/>
    <w:rsid w:val="00236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F1F"/>
    <w:rPr>
      <w:color w:val="0033CC"/>
      <w:u w:val="none"/>
    </w:rPr>
  </w:style>
  <w:style w:type="paragraph" w:customStyle="1" w:styleId="BodyTextRight">
    <w:name w:val="Body Text Right"/>
    <w:basedOn w:val="BodyText"/>
    <w:rsid w:val="00236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F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F1F"/>
    <w:rPr>
      <w:sz w:val="32"/>
    </w:rPr>
  </w:style>
  <w:style w:type="paragraph" w:customStyle="1" w:styleId="HeadingProcedure">
    <w:name w:val="Heading Procedure"/>
    <w:basedOn w:val="HeadingBase"/>
    <w:next w:val="Normal"/>
    <w:rsid w:val="00236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F1F"/>
    <w:pPr>
      <w:spacing w:before="60" w:after="60"/>
    </w:pPr>
  </w:style>
  <w:style w:type="paragraph" w:styleId="ListContinue">
    <w:name w:val="List Continue"/>
    <w:basedOn w:val="List"/>
    <w:rsid w:val="00236F1F"/>
    <w:pPr>
      <w:ind w:firstLine="0"/>
    </w:pPr>
  </w:style>
  <w:style w:type="paragraph" w:customStyle="1" w:styleId="ListNote">
    <w:name w:val="List Note"/>
    <w:basedOn w:val="List"/>
    <w:rsid w:val="00236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F1F"/>
    <w:rPr>
      <w:rFonts w:ascii="Courier New" w:hAnsi="Courier New"/>
    </w:rPr>
  </w:style>
  <w:style w:type="paragraph" w:customStyle="1" w:styleId="NoteBullet">
    <w:name w:val="Note Bullet"/>
    <w:basedOn w:val="Note"/>
    <w:rsid w:val="00236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F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6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F1F"/>
    <w:rPr>
      <w:b/>
      <w:smallCaps/>
    </w:rPr>
  </w:style>
  <w:style w:type="paragraph" w:customStyle="1" w:styleId="TableListNumber">
    <w:name w:val="Table List Number"/>
    <w:basedOn w:val="ListNumber"/>
    <w:rsid w:val="00236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F1F"/>
    <w:pPr>
      <w:numPr>
        <w:numId w:val="9"/>
      </w:numPr>
    </w:pPr>
  </w:style>
  <w:style w:type="paragraph" w:customStyle="1" w:styleId="ListAlpha2">
    <w:name w:val="List Alpha 2"/>
    <w:basedOn w:val="List2"/>
    <w:rsid w:val="00236F1F"/>
    <w:pPr>
      <w:numPr>
        <w:numId w:val="8"/>
      </w:numPr>
    </w:pPr>
  </w:style>
  <w:style w:type="paragraph" w:styleId="List2">
    <w:name w:val="List 2"/>
    <w:basedOn w:val="BodyText"/>
    <w:rsid w:val="00236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F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F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6F1F"/>
    <w:pPr>
      <w:numPr>
        <w:numId w:val="4"/>
      </w:numPr>
    </w:pPr>
  </w:style>
  <w:style w:type="paragraph" w:styleId="ListContinue2">
    <w:name w:val="List Continue 2"/>
    <w:basedOn w:val="List2"/>
    <w:rsid w:val="00236F1F"/>
    <w:pPr>
      <w:ind w:firstLine="0"/>
    </w:pPr>
  </w:style>
  <w:style w:type="paragraph" w:styleId="ListContinue3">
    <w:name w:val="List Continue 3"/>
    <w:basedOn w:val="List3"/>
    <w:rsid w:val="00236F1F"/>
    <w:pPr>
      <w:ind w:left="1021" w:firstLine="0"/>
    </w:pPr>
  </w:style>
  <w:style w:type="paragraph" w:styleId="ListContinue4">
    <w:name w:val="List Continue 4"/>
    <w:basedOn w:val="List4"/>
    <w:rsid w:val="00236F1F"/>
    <w:pPr>
      <w:ind w:firstLine="0"/>
    </w:pPr>
  </w:style>
  <w:style w:type="paragraph" w:styleId="ListContinue5">
    <w:name w:val="List Continue 5"/>
    <w:basedOn w:val="List5"/>
    <w:rsid w:val="00236F1F"/>
    <w:pPr>
      <w:ind w:firstLine="0"/>
    </w:pPr>
  </w:style>
  <w:style w:type="paragraph" w:styleId="ListNumber3">
    <w:name w:val="List Number 3"/>
    <w:basedOn w:val="List3"/>
    <w:rsid w:val="00236F1F"/>
    <w:pPr>
      <w:numPr>
        <w:numId w:val="5"/>
      </w:numPr>
    </w:pPr>
  </w:style>
  <w:style w:type="paragraph" w:styleId="ListNumber4">
    <w:name w:val="List Number 4"/>
    <w:basedOn w:val="List4"/>
    <w:rsid w:val="00236F1F"/>
    <w:pPr>
      <w:numPr>
        <w:numId w:val="6"/>
      </w:numPr>
    </w:pPr>
  </w:style>
  <w:style w:type="paragraph" w:styleId="ListNumber5">
    <w:name w:val="List Number 5"/>
    <w:basedOn w:val="List5"/>
    <w:rsid w:val="00236F1F"/>
    <w:pPr>
      <w:numPr>
        <w:numId w:val="7"/>
      </w:numPr>
    </w:pPr>
  </w:style>
  <w:style w:type="paragraph" w:styleId="BlockText">
    <w:name w:val="Block Text"/>
    <w:basedOn w:val="Normal"/>
    <w:rsid w:val="00236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F1F"/>
    <w:rPr>
      <w:sz w:val="16"/>
      <w:vertAlign w:val="superscript"/>
    </w:rPr>
  </w:style>
  <w:style w:type="character" w:customStyle="1" w:styleId="Symbols">
    <w:name w:val="Symbols"/>
    <w:basedOn w:val="DefaultParagraphFont"/>
    <w:rsid w:val="00236F1F"/>
    <w:rPr>
      <w:rFonts w:ascii="Symbol" w:hAnsi="Symbol"/>
    </w:rPr>
  </w:style>
  <w:style w:type="character" w:customStyle="1" w:styleId="MenuOptions">
    <w:name w:val="Menu Options"/>
    <w:basedOn w:val="DefaultParagraphFont"/>
    <w:rsid w:val="00236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F1F"/>
    <w:rPr>
      <w:b/>
    </w:rPr>
  </w:style>
  <w:style w:type="character" w:customStyle="1" w:styleId="Underlined">
    <w:name w:val="Underlined"/>
    <w:basedOn w:val="DefaultParagraphFont"/>
    <w:rsid w:val="00236F1F"/>
    <w:rPr>
      <w:u w:val="single"/>
    </w:rPr>
  </w:style>
  <w:style w:type="paragraph" w:customStyle="1" w:styleId="TableBodyTextRight">
    <w:name w:val="Table Body Text Right"/>
    <w:basedOn w:val="TableBodyText"/>
    <w:rsid w:val="00236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F1F"/>
    <w:rPr>
      <w:sz w:val="18"/>
    </w:rPr>
  </w:style>
  <w:style w:type="paragraph" w:customStyle="1" w:styleId="BodySmallRight">
    <w:name w:val="Body Small Right"/>
    <w:basedOn w:val="BodyTextRight"/>
    <w:rsid w:val="00236F1F"/>
    <w:rPr>
      <w:sz w:val="18"/>
      <w:szCs w:val="18"/>
    </w:rPr>
  </w:style>
  <w:style w:type="paragraph" w:customStyle="1" w:styleId="MarginEdition">
    <w:name w:val="Margin Edition"/>
    <w:basedOn w:val="MarginNote"/>
    <w:rsid w:val="00236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F1F"/>
    <w:rPr>
      <w:sz w:val="2"/>
      <w:szCs w:val="2"/>
    </w:rPr>
  </w:style>
  <w:style w:type="character" w:customStyle="1" w:styleId="Small">
    <w:name w:val="Small"/>
    <w:basedOn w:val="DefaultParagraphFont"/>
    <w:rsid w:val="00236F1F"/>
    <w:rPr>
      <w:sz w:val="16"/>
    </w:rPr>
  </w:style>
  <w:style w:type="paragraph" w:customStyle="1" w:styleId="WideTable">
    <w:name w:val="Wide Table"/>
    <w:basedOn w:val="Normal"/>
    <w:rsid w:val="00236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F1F"/>
  </w:style>
  <w:style w:type="paragraph" w:styleId="Quote">
    <w:name w:val="Quote"/>
    <w:basedOn w:val="Heading1"/>
    <w:link w:val="QuoteChar"/>
    <w:qFormat/>
    <w:rsid w:val="00236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F1F"/>
    <w:pPr>
      <w:pageBreakBefore/>
    </w:pPr>
  </w:style>
  <w:style w:type="paragraph" w:customStyle="1" w:styleId="Border">
    <w:name w:val="Border"/>
    <w:basedOn w:val="Normal"/>
    <w:qFormat/>
    <w:rsid w:val="00236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F1F"/>
    <w:rPr>
      <w:u w:val="single"/>
    </w:rPr>
  </w:style>
  <w:style w:type="character" w:customStyle="1" w:styleId="BoldandItalics">
    <w:name w:val="Bold and Italics"/>
    <w:qFormat/>
    <w:rsid w:val="00236F1F"/>
    <w:rPr>
      <w:b/>
      <w:i/>
      <w:u w:val="none"/>
    </w:rPr>
  </w:style>
  <w:style w:type="paragraph" w:styleId="BalloonText">
    <w:name w:val="Balloon Text"/>
    <w:basedOn w:val="Normal"/>
    <w:link w:val="BalloonTextChar"/>
    <w:rsid w:val="00236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F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F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F1F"/>
    <w:pPr>
      <w:spacing w:before="0" w:after="0"/>
    </w:pPr>
  </w:style>
  <w:style w:type="paragraph" w:customStyle="1" w:styleId="BodyTextBold">
    <w:name w:val="Body Text Bold"/>
    <w:basedOn w:val="BodyText"/>
    <w:qFormat/>
    <w:rsid w:val="00236F1F"/>
    <w:rPr>
      <w:b/>
    </w:rPr>
  </w:style>
  <w:style w:type="character" w:styleId="Hyperlink">
    <w:name w:val="Hyperlink"/>
    <w:basedOn w:val="DefaultParagraphFont"/>
    <w:uiPriority w:val="99"/>
    <w:unhideWhenUsed/>
    <w:rsid w:val="00954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2882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SIFEMWK013 Determine embalming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