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5F79" w:rsidP="00CF5F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SIFEMWK009 Apply anatomy and physiology principles to embalming</w:t>
      </w:r>
      <w:r>
        <w:fldChar w:fldCharType="end"/>
      </w:r>
    </w:p>
    <w:p w:rsidR="00CF5F79" w:rsidP="00CF5F79">
      <w:pPr>
        <w:pStyle w:val="Version"/>
        <w:sectPr w:rsidSect="00F830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30DD" w:rsidP="00F830DD">
      <w:pPr>
        <w:pStyle w:val="SuperHeading"/>
      </w:pPr>
      <w:r w:rsidRPr="00F830DD">
        <w:t>SIFEMWK009 Apply anatomy and physiology principles to embalming</w:t>
      </w:r>
    </w:p>
    <w:p w:rsidR="00000000" w:rsidRPr="00F830DD" w:rsidP="00F830DD">
      <w:pPr>
        <w:pStyle w:val="Heading1"/>
      </w:pPr>
      <w:bookmarkStart w:id="1" w:name="O_577807"/>
      <w:bookmarkEnd w:id="1"/>
      <w:r w:rsidRPr="00F830DD">
        <w:t>Modification History</w:t>
      </w:r>
    </w:p>
    <w:p w:rsidR="00000000" w:rsidRPr="00F830DD" w:rsidP="00CF5F79">
      <w:pPr>
        <w:pStyle w:val="BodyText"/>
      </w:pPr>
      <w:r w:rsidRPr="00F830DD">
        <w:t>Not applicable.</w:t>
      </w:r>
    </w:p>
    <w:p w:rsidR="00000000" w:rsidRPr="00F830DD" w:rsidP="00F830DD">
      <w:pPr>
        <w:pStyle w:val="Heading1"/>
      </w:pPr>
      <w:bookmarkStart w:id="2" w:name="O_577808"/>
      <w:bookmarkEnd w:id="2"/>
      <w:r w:rsidRPr="00F830DD">
        <w:t>Application</w:t>
      </w:r>
    </w:p>
    <w:p w:rsidR="00000000" w:rsidRPr="00F830DD" w:rsidP="00CF5F79">
      <w:pPr>
        <w:pStyle w:val="BodyText"/>
      </w:pPr>
      <w:r w:rsidRPr="00F830DD">
        <w:t>This unit describes the performance outcomes, skills and knowl</w:t>
      </w:r>
      <w:r w:rsidRPr="00F830DD">
        <w:t>edge required to apply an understanding of human body structure, systems and terminology as they relate to embalming. It applies to embalming staff who work autonomously with a high level of responsibility and work according to work health and safety, rele</w:t>
      </w:r>
      <w:r w:rsidRPr="00F830DD">
        <w:t>vant legislation and workplace policies and procedures.</w:t>
      </w:r>
    </w:p>
    <w:p w:rsidR="00000000" w:rsidRPr="00F830DD" w:rsidP="00CF5F79">
      <w:pPr>
        <w:pStyle w:val="BodyText"/>
      </w:pPr>
      <w:r w:rsidRPr="00F830DD">
        <w:t>No licensing, legislative or certification requirements apply to this unit at the time of publication.</w:t>
      </w:r>
    </w:p>
    <w:p w:rsidR="00000000" w:rsidRPr="00F830DD" w:rsidP="00F830DD">
      <w:pPr>
        <w:pStyle w:val="Heading1"/>
      </w:pPr>
      <w:bookmarkStart w:id="3" w:name="O_577810"/>
      <w:bookmarkEnd w:id="3"/>
      <w:r w:rsidRPr="00F830DD">
        <w:t>Competency Field</w:t>
      </w:r>
    </w:p>
    <w:p w:rsidR="00000000" w:rsidRPr="00F830DD" w:rsidP="00CF5F79">
      <w:pPr>
        <w:pStyle w:val="BodyText"/>
      </w:pPr>
      <w:r w:rsidRPr="00F830DD">
        <w:t>Mortuary Work and Embalming</w:t>
      </w:r>
    </w:p>
    <w:p w:rsidR="00000000" w:rsidRPr="00F830DD" w:rsidP="00F830DD">
      <w:pPr>
        <w:pStyle w:val="Heading1"/>
      </w:pPr>
      <w:bookmarkStart w:id="4" w:name="O_577811"/>
      <w:bookmarkEnd w:id="4"/>
      <w:r w:rsidRPr="00F830DD">
        <w:t>Unit Sector</w:t>
      </w:r>
    </w:p>
    <w:p w:rsidR="00000000" w:rsidRPr="00F830DD" w:rsidP="00CF5F79">
      <w:pPr>
        <w:pStyle w:val="BodyText"/>
      </w:pPr>
      <w:r w:rsidRPr="00F830DD">
        <w:t>Embal</w:t>
      </w:r>
      <w:r w:rsidRPr="00F830DD">
        <w:t>ming</w:t>
      </w:r>
    </w:p>
    <w:p w:rsidR="00000000" w:rsidRPr="00F830DD" w:rsidP="00F830DD">
      <w:pPr>
        <w:pStyle w:val="Heading1"/>
      </w:pPr>
      <w:bookmarkStart w:id="5" w:name="O_577812"/>
      <w:bookmarkEnd w:id="5"/>
      <w:r w:rsidRPr="00F830D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13"/>
        <w:gridCol w:w="7383"/>
      </w:tblGrid>
      <w:tr w:rsidTr="00CF5F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0DD" w:rsidP="00F830DD">
            <w:pPr>
              <w:pStyle w:val="BodyText"/>
            </w:pPr>
            <w:r w:rsidRPr="00F830DD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0DD">
            <w:pPr>
              <w:pStyle w:val="BodyText"/>
              <w:rPr>
                <w:lang w:val="en-NZ"/>
              </w:rPr>
            </w:pPr>
            <w:r w:rsidRPr="00F830DD">
              <w:rPr>
                <w:rStyle w:val="SpecialBold"/>
              </w:rPr>
              <w:t>PERFORMANCE CRITERIA</w:t>
            </w:r>
          </w:p>
        </w:tc>
      </w:tr>
      <w:tr w:rsidTr="00CF5F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0DD">
            <w:pPr>
              <w:pStyle w:val="BodyText"/>
              <w:rPr>
                <w:lang w:val="en-NZ"/>
              </w:rPr>
            </w:pPr>
            <w:r w:rsidRPr="00F830DD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0DD">
            <w:pPr>
              <w:pStyle w:val="BodyText"/>
              <w:rPr>
                <w:lang w:val="en-NZ"/>
              </w:rPr>
            </w:pPr>
            <w:r w:rsidRPr="00F830DD">
              <w:t xml:space="preserve">Performance criteria describe the performance needed to demonstrate achievement of the element. </w:t>
            </w:r>
          </w:p>
        </w:tc>
      </w:tr>
      <w:tr w:rsidTr="00CF5F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0DD">
            <w:pPr>
              <w:pStyle w:val="List"/>
              <w:rPr>
                <w:lang w:val="en-NZ"/>
              </w:rPr>
            </w:pPr>
            <w:r w:rsidRPr="00F830DD">
              <w:t>1.</w:t>
            </w:r>
            <w:r w:rsidRPr="00F830DD">
              <w:tab/>
            </w:r>
            <w:r w:rsidRPr="00F830DD">
              <w:t>Apply anatomical and physiological terminology to the embalming process.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0DD" w:rsidP="00F830DD">
            <w:pPr>
              <w:pStyle w:val="List"/>
            </w:pPr>
            <w:r w:rsidRPr="00F830DD">
              <w:t>1.1</w:t>
            </w:r>
            <w:r w:rsidRPr="00F830DD">
              <w:tab/>
              <w:t>Recognise the structures and functions of the body in relation to embalming.</w:t>
            </w:r>
          </w:p>
          <w:p w:rsidR="00000000" w:rsidP="00F830DD">
            <w:pPr>
              <w:pStyle w:val="List"/>
              <w:rPr>
                <w:lang w:val="en-NZ"/>
              </w:rPr>
            </w:pPr>
            <w:r w:rsidRPr="00F830DD">
              <w:t>1.2</w:t>
            </w:r>
            <w:r w:rsidRPr="00F830DD">
              <w:tab/>
              <w:t>Locate and explain the circulatory and lymphatic systems in terms of their importance to embalming</w:t>
            </w:r>
            <w:r w:rsidRPr="00F830DD">
              <w:t>.</w:t>
            </w:r>
          </w:p>
        </w:tc>
      </w:tr>
      <w:tr w:rsidTr="00CF5F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0DD">
            <w:pPr>
              <w:pStyle w:val="List"/>
              <w:rPr>
                <w:lang w:val="en-NZ"/>
              </w:rPr>
            </w:pPr>
            <w:r w:rsidRPr="00F830DD">
              <w:t>2.</w:t>
            </w:r>
            <w:r w:rsidRPr="00F830DD">
              <w:tab/>
              <w:t xml:space="preserve">Apply knowledge of anatomy and </w:t>
            </w:r>
            <w:r w:rsidRPr="00F830DD">
              <w:t>physiology to the embalming process.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0DD" w:rsidP="00F830DD">
            <w:pPr>
              <w:pStyle w:val="List"/>
            </w:pPr>
            <w:r w:rsidRPr="00F830DD">
              <w:t>2.1</w:t>
            </w:r>
            <w:r w:rsidRPr="00F830DD">
              <w:tab/>
              <w:t>Locate and examine the arterial sites used for injecting embalming fluid during the embalming process.</w:t>
            </w:r>
          </w:p>
          <w:p w:rsidR="00000000" w:rsidRPr="00F830DD" w:rsidP="00F830DD">
            <w:pPr>
              <w:pStyle w:val="List"/>
            </w:pPr>
            <w:r w:rsidRPr="00F830DD">
              <w:t>2.2</w:t>
            </w:r>
            <w:r w:rsidRPr="00F830DD">
              <w:tab/>
              <w:t>Locate and examine the venous sites used for draining venous fluid duri</w:t>
            </w:r>
            <w:r w:rsidRPr="00F830DD">
              <w:t xml:space="preserve">ng the </w:t>
            </w:r>
            <w:r w:rsidRPr="00F830DD">
              <w:t>embalming process.</w:t>
            </w:r>
          </w:p>
          <w:p w:rsidR="00000000" w:rsidRPr="00F830DD" w:rsidP="00F830DD">
            <w:pPr>
              <w:pStyle w:val="List"/>
            </w:pPr>
            <w:r w:rsidRPr="00F830DD">
              <w:t>2.3</w:t>
            </w:r>
            <w:r w:rsidRPr="00F830DD">
              <w:tab/>
              <w:t>Locate and examine the organs treated during the embalming process.</w:t>
            </w:r>
          </w:p>
        </w:tc>
      </w:tr>
    </w:tbl>
    <w:p w:rsidR="00000000" w:rsidRPr="00F830DD" w:rsidP="00F830DD">
      <w:pPr>
        <w:pStyle w:val="BodyText"/>
      </w:pPr>
    </w:p>
    <w:p w:rsidR="00000000" w:rsidRPr="00F830DD" w:rsidP="00F830DD">
      <w:pPr>
        <w:pStyle w:val="AllowPageBreak"/>
      </w:pPr>
    </w:p>
    <w:p w:rsidR="00000000" w:rsidRPr="00F830DD" w:rsidP="00F830DD">
      <w:pPr>
        <w:pStyle w:val="Heading1"/>
      </w:pPr>
      <w:bookmarkStart w:id="6" w:name="O_577813"/>
      <w:bookmarkEnd w:id="6"/>
      <w:r w:rsidRPr="00F830DD">
        <w:t>Foundation Skills</w:t>
      </w:r>
    </w:p>
    <w:p w:rsidR="00000000" w:rsidRPr="00F830DD" w:rsidP="00CF5F79">
      <w:pPr>
        <w:pStyle w:val="BodyText"/>
      </w:pPr>
      <w:r w:rsidRPr="00F830DD">
        <w:t>This section describes those language, literacy, numeracy and employment skills that are essential to performance.</w:t>
      </w:r>
    </w:p>
    <w:p w:rsidR="00000000" w:rsidRPr="00F830DD" w:rsidP="00CF5F79">
      <w:pPr>
        <w:pStyle w:val="BodyText"/>
      </w:pPr>
      <w:r w:rsidRPr="00F830DD">
        <w:t>Found</w:t>
      </w:r>
      <w:r w:rsidRPr="00F830DD">
        <w:t xml:space="preserve">ation skills essential to performance in this unit, but not explicit in the performance criteria are listed below: </w:t>
      </w:r>
    </w:p>
    <w:p w:rsidR="00000000" w:rsidRPr="00F830DD" w:rsidP="00F830DD">
      <w:pPr>
        <w:pStyle w:val="ListBullet"/>
      </w:pPr>
      <w:r w:rsidRPr="00F830DD">
        <w:t>Learning skills to interpret and organise anatomical and physiological theories.</w:t>
      </w:r>
    </w:p>
    <w:p w:rsidR="00000000" w:rsidRPr="00F830DD" w:rsidP="00F830DD">
      <w:pPr>
        <w:pStyle w:val="AllowPageBreak"/>
      </w:pPr>
    </w:p>
    <w:p w:rsidR="00000000" w:rsidRPr="00F830DD" w:rsidP="00F830DD">
      <w:pPr>
        <w:pStyle w:val="Heading1"/>
      </w:pPr>
      <w:bookmarkStart w:id="7" w:name="O_577815"/>
      <w:bookmarkEnd w:id="7"/>
      <w:r w:rsidRPr="00F830DD">
        <w:t>Unit Mapping Information</w:t>
      </w:r>
    </w:p>
    <w:p w:rsidR="00000000" w:rsidRPr="00F830DD" w:rsidP="00CF5F79">
      <w:pPr>
        <w:pStyle w:val="BodyText"/>
      </w:pPr>
      <w:r w:rsidRPr="00F830DD">
        <w:t>No equivalent unit.</w:t>
      </w:r>
    </w:p>
    <w:p w:rsidR="00000000" w:rsidRPr="00F830DD" w:rsidP="00F830DD">
      <w:pPr>
        <w:pStyle w:val="Heading1"/>
      </w:pPr>
      <w:bookmarkStart w:id="8" w:name="O_577823"/>
      <w:bookmarkEnd w:id="8"/>
      <w:r w:rsidRPr="00F830DD">
        <w:t>Links</w:t>
      </w:r>
    </w:p>
    <w:p w:rsidR="00000000" w:rsidRPr="00F830DD" w:rsidP="00CF5F79">
      <w:pPr>
        <w:pStyle w:val="BodyText"/>
      </w:pPr>
      <w:r w:rsidRPr="00F830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4A65C2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F830DD" w:rsidP="00CF5F79">
      <w:pPr>
        <w:pStyle w:val="BodyText"/>
        <w:sectPr w:rsidSect="00F830D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830DD" w:rsidP="00F830DD">
      <w:pPr>
        <w:pStyle w:val="SuperHeading"/>
      </w:pPr>
      <w:r w:rsidRPr="00F830DD">
        <w:t>Assessment Requireme</w:t>
      </w:r>
      <w:r w:rsidRPr="00F830DD">
        <w:t>nts for SIFEMWK009 Apply anatomy and physiology principles to embalming</w:t>
      </w:r>
    </w:p>
    <w:p w:rsidR="00000000" w:rsidRPr="00F830DD" w:rsidP="00F830DD">
      <w:pPr>
        <w:pStyle w:val="Heading1"/>
      </w:pPr>
      <w:bookmarkStart w:id="9" w:name="O_577817"/>
      <w:bookmarkEnd w:id="9"/>
      <w:r w:rsidRPr="00F830DD">
        <w:t>Modification History</w:t>
      </w:r>
    </w:p>
    <w:p w:rsidR="00000000" w:rsidRPr="00F830DD" w:rsidP="00CF5F79">
      <w:pPr>
        <w:pStyle w:val="BodyText"/>
      </w:pPr>
      <w:r w:rsidRPr="00F830DD">
        <w:t>Not applicable.</w:t>
      </w:r>
    </w:p>
    <w:p w:rsidR="00000000" w:rsidRPr="00F830DD" w:rsidP="00F830DD">
      <w:pPr>
        <w:pStyle w:val="Heading1"/>
      </w:pPr>
      <w:bookmarkStart w:id="10" w:name="O_577818"/>
      <w:bookmarkEnd w:id="10"/>
      <w:r w:rsidRPr="00F830DD">
        <w:t>Performance Evidence</w:t>
      </w:r>
    </w:p>
    <w:p w:rsidR="00000000" w:rsidRPr="00F830DD" w:rsidP="00CF5F79">
      <w:pPr>
        <w:pStyle w:val="BodyText"/>
      </w:pPr>
      <w:r w:rsidRPr="00F830DD">
        <w:t>Evidence of the ability to:</w:t>
      </w:r>
    </w:p>
    <w:p w:rsidR="00000000" w:rsidRPr="00F830DD" w:rsidP="00F830DD">
      <w:pPr>
        <w:pStyle w:val="ListBullet"/>
      </w:pPr>
      <w:r w:rsidRPr="00F830DD">
        <w:t>use anatomical and physiological terminology as they apply to th</w:t>
      </w:r>
      <w:r w:rsidRPr="00F830DD">
        <w:t xml:space="preserve">e embalming process </w:t>
      </w:r>
    </w:p>
    <w:p w:rsidR="00000000" w:rsidRPr="00F830DD" w:rsidP="00F830DD">
      <w:pPr>
        <w:pStyle w:val="ListBullet"/>
      </w:pPr>
      <w:r w:rsidRPr="00F830DD">
        <w:t>apply knowledge of the structure and functions of anatomy and physiology to the embalming process.</w:t>
      </w:r>
    </w:p>
    <w:p w:rsidR="00000000" w:rsidRPr="00F830DD" w:rsidP="00F830DD">
      <w:pPr>
        <w:pStyle w:val="BodyText"/>
      </w:pPr>
    </w:p>
    <w:p w:rsidR="00000000" w:rsidRPr="00F830DD" w:rsidP="00CF5F79">
      <w:pPr>
        <w:pStyle w:val="BodyText"/>
      </w:pPr>
      <w:r w:rsidRPr="00F830DD">
        <w:t xml:space="preserve">Evidence of performance of applying anatomy and physiology principles to the embalming process on two or more occasions is required to </w:t>
      </w:r>
      <w:r w:rsidRPr="00F830DD">
        <w:t>demonstrate consistency of performance and ability to respond to different situations.</w:t>
      </w:r>
    </w:p>
    <w:p w:rsidR="00000000" w:rsidRPr="00F830DD" w:rsidP="00F830DD">
      <w:pPr>
        <w:pStyle w:val="Heading1"/>
      </w:pPr>
      <w:bookmarkStart w:id="11" w:name="O_577819"/>
      <w:bookmarkEnd w:id="11"/>
      <w:r w:rsidRPr="00F830DD">
        <w:t>Knowledge Evidence</w:t>
      </w:r>
    </w:p>
    <w:p w:rsidR="00000000" w:rsidRPr="00F830DD" w:rsidP="00CF5F79">
      <w:pPr>
        <w:pStyle w:val="BodyText"/>
      </w:pPr>
      <w:r w:rsidRPr="00F830DD">
        <w:t>Demonstrated knowledge of:</w:t>
      </w:r>
    </w:p>
    <w:p w:rsidR="00000000" w:rsidRPr="00F830DD" w:rsidP="00F830DD">
      <w:pPr>
        <w:pStyle w:val="ListBullet"/>
      </w:pPr>
      <w:r w:rsidRPr="00F830DD">
        <w:t>anatomy and physiology terminology as it relates to embalming</w:t>
      </w:r>
    </w:p>
    <w:p w:rsidR="00000000" w:rsidRPr="00F830DD" w:rsidP="00F830DD">
      <w:pPr>
        <w:pStyle w:val="ListBullet"/>
      </w:pPr>
      <w:r w:rsidRPr="00F830DD">
        <w:t>anatomy and physiology as it relates to embalming, including:</w:t>
      </w:r>
    </w:p>
    <w:p w:rsidR="00000000" w:rsidRPr="00F830DD" w:rsidP="00F830DD">
      <w:pPr>
        <w:pStyle w:val="ListBullet2"/>
      </w:pPr>
      <w:r w:rsidRPr="00F830DD">
        <w:t>the structural levels of organisation in the study of anatomy and physiology</w:t>
      </w:r>
    </w:p>
    <w:p w:rsidR="00000000" w:rsidRPr="00F830DD" w:rsidP="00F830DD">
      <w:pPr>
        <w:pStyle w:val="ListBullet2"/>
      </w:pPr>
      <w:r w:rsidRPr="00F830DD">
        <w:t>the functions of the internal transportation systems of the body</w:t>
      </w:r>
    </w:p>
    <w:p w:rsidR="00000000" w:rsidRPr="00F830DD" w:rsidP="00F830DD">
      <w:pPr>
        <w:pStyle w:val="ListBullet2"/>
      </w:pPr>
      <w:r w:rsidRPr="00F830DD">
        <w:t>the gas exchange that occurs within the respiratory</w:t>
      </w:r>
      <w:r w:rsidRPr="00F830DD">
        <w:t xml:space="preserve"> system</w:t>
      </w:r>
    </w:p>
    <w:p w:rsidR="00000000" w:rsidRPr="00F830DD" w:rsidP="00F830DD">
      <w:pPr>
        <w:pStyle w:val="ListBullet2"/>
      </w:pPr>
      <w:r w:rsidRPr="00F830DD">
        <w:t>role of the nervous system</w:t>
      </w:r>
    </w:p>
    <w:p w:rsidR="00000000" w:rsidRPr="00F830DD" w:rsidP="00F830DD">
      <w:pPr>
        <w:pStyle w:val="ListBullet2"/>
      </w:pPr>
      <w:r w:rsidRPr="00F830DD">
        <w:t>role of the musculo-skeletal system</w:t>
      </w:r>
    </w:p>
    <w:p w:rsidR="00000000" w:rsidRPr="00F830DD" w:rsidP="00F830DD">
      <w:pPr>
        <w:pStyle w:val="ListBullet"/>
      </w:pPr>
      <w:r w:rsidRPr="00F830DD">
        <w:t>body systems in regard to their interdependence and relationship to the muscles and nerves as related to the embalming process:</w:t>
      </w:r>
    </w:p>
    <w:p w:rsidR="00000000" w:rsidRPr="00F830DD" w:rsidP="00F830DD">
      <w:pPr>
        <w:pStyle w:val="ListBullet2"/>
      </w:pPr>
      <w:r w:rsidRPr="00F830DD">
        <w:t>skeletal and muscular, including muscle contractibility</w:t>
      </w:r>
      <w:r w:rsidRPr="00F830DD">
        <w:t xml:space="preserve"> and motor points</w:t>
      </w:r>
    </w:p>
    <w:p w:rsidR="00000000" w:rsidRPr="00F830DD" w:rsidP="00F830DD">
      <w:pPr>
        <w:pStyle w:val="ListBullet2"/>
      </w:pPr>
      <w:r w:rsidRPr="00F830DD">
        <w:t>lymphatic, digestive, respiratory, and circulatory systems</w:t>
      </w:r>
    </w:p>
    <w:p w:rsidR="00000000" w:rsidRPr="00F830DD" w:rsidP="00F830DD">
      <w:pPr>
        <w:pStyle w:val="ListBullet"/>
      </w:pPr>
      <w:r w:rsidRPr="00F830DD">
        <w:t>arterial sites and venous sites used for injecting embalming fluid</w:t>
      </w:r>
    </w:p>
    <w:p w:rsidR="00000000" w:rsidRPr="00F830DD" w:rsidP="00F830DD">
      <w:pPr>
        <w:pStyle w:val="ListBullet"/>
      </w:pPr>
      <w:r w:rsidRPr="00F830DD">
        <w:t>physical and chemical changes that occur after death and their possible impact on the embalming process.</w:t>
      </w:r>
    </w:p>
    <w:p w:rsidR="00000000" w:rsidRPr="00F830DD" w:rsidP="00F830DD">
      <w:pPr>
        <w:pStyle w:val="AllowPageBreak"/>
      </w:pPr>
    </w:p>
    <w:p w:rsidR="00000000" w:rsidRPr="00F830DD" w:rsidP="00F830DD">
      <w:pPr>
        <w:pStyle w:val="Heading1"/>
      </w:pPr>
      <w:bookmarkStart w:id="12" w:name="O_577820"/>
      <w:bookmarkEnd w:id="12"/>
      <w:r w:rsidRPr="00F830DD">
        <w:t>Assessment Conditions</w:t>
      </w:r>
    </w:p>
    <w:p w:rsidR="00000000" w:rsidRPr="00F830DD" w:rsidP="00CF5F79">
      <w:pPr>
        <w:pStyle w:val="BodyText"/>
      </w:pPr>
      <w:r w:rsidRPr="00F830DD">
        <w:t xml:space="preserve">Skills must be demonstrated in a mortuary workplace or in a simulated environment that is as industry realistic as possible. In a simulated environment, it is essential that assessment is conducted: </w:t>
      </w:r>
    </w:p>
    <w:p w:rsidR="00000000" w:rsidRPr="00F830DD" w:rsidP="00F830DD">
      <w:pPr>
        <w:pStyle w:val="ListBullet"/>
      </w:pPr>
      <w:r w:rsidRPr="00F830DD">
        <w:t>using suitable fa</w:t>
      </w:r>
      <w:r w:rsidRPr="00F830DD">
        <w:t>cilities, equipment and resources, including:</w:t>
      </w:r>
    </w:p>
    <w:p w:rsidR="00000000" w:rsidRPr="00F830DD" w:rsidP="00F830DD">
      <w:pPr>
        <w:pStyle w:val="ListBullet2"/>
      </w:pPr>
      <w:r w:rsidRPr="00F830DD">
        <w:t>a mortuary environment</w:t>
      </w:r>
    </w:p>
    <w:p w:rsidR="00000000" w:rsidRPr="00F830DD" w:rsidP="00F830DD">
      <w:pPr>
        <w:pStyle w:val="ListBullet2"/>
      </w:pPr>
      <w:r w:rsidRPr="00F830DD">
        <w:t xml:space="preserve">deceased bodies or models of deceased bodies </w:t>
      </w:r>
    </w:p>
    <w:p w:rsidR="00000000" w:rsidRPr="00F830DD" w:rsidP="00F830DD">
      <w:pPr>
        <w:pStyle w:val="ListBullet2"/>
      </w:pPr>
      <w:r w:rsidRPr="00F830DD">
        <w:t>mortuary instruments and equipment including personal protective equipment and chemicals</w:t>
      </w:r>
    </w:p>
    <w:p w:rsidR="00000000" w:rsidRPr="00F830DD" w:rsidP="00F830DD">
      <w:pPr>
        <w:pStyle w:val="ListBullet"/>
      </w:pPr>
      <w:r w:rsidRPr="00F830DD">
        <w:t>under industry operating conditions where there is</w:t>
      </w:r>
      <w:r w:rsidRPr="00F830DD">
        <w:t>:</w:t>
      </w:r>
    </w:p>
    <w:p w:rsidR="00000000" w:rsidRPr="00F830DD" w:rsidP="00F830DD">
      <w:pPr>
        <w:pStyle w:val="ListBullet2"/>
      </w:pPr>
      <w:r w:rsidRPr="00F830DD">
        <w:t xml:space="preserve">integration of tasks with possible interruptions to work typical of the job role </w:t>
      </w:r>
    </w:p>
    <w:p w:rsidR="00000000" w:rsidRPr="00F830DD" w:rsidP="00F830DD">
      <w:pPr>
        <w:pStyle w:val="BodyText"/>
      </w:pPr>
    </w:p>
    <w:p w:rsidR="00000000" w:rsidRPr="00F830DD" w:rsidP="00CF5F79">
      <w:pPr>
        <w:pStyle w:val="BodyText"/>
      </w:pPr>
      <w:r w:rsidRPr="00F830DD">
        <w:t>As well as satisfying the NVR/AQTF mandatory competency requirements, assessors must also be a qualified embalmer.</w:t>
      </w:r>
    </w:p>
    <w:p w:rsidR="00000000" w:rsidRPr="00F830DD" w:rsidP="00F830DD">
      <w:pPr>
        <w:pStyle w:val="Heading1"/>
      </w:pPr>
      <w:bookmarkStart w:id="13" w:name="O_577822"/>
      <w:bookmarkEnd w:id="13"/>
      <w:r w:rsidRPr="00F830DD">
        <w:t>Links</w:t>
      </w:r>
    </w:p>
    <w:p w:rsidR="00000000" w:rsidRPr="00F830DD" w:rsidP="00CF5F79">
      <w:pPr>
        <w:pStyle w:val="BodyText"/>
      </w:pPr>
      <w:r w:rsidRPr="00F830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4A65C2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F830DD" w:rsidP="00F830DD"/>
    <w:sectPr w:rsidSect="00F830D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0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0DD" w:rsidRPr="00CF5F79" w:rsidP="00CF5F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0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F79" w:rsidP="00F830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5F79" w:rsidP="00F830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F5F79" w:rsidP="00F830D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0DD" w:rsidP="00F830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F5F79">
      <w:t>Approved</w:t>
    </w:r>
    <w:r w:rsidR="00CF5F7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F5F7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F5F79">
      <w:rPr>
        <w:noProof/>
      </w:rPr>
      <w:t>4</w:t>
    </w:r>
    <w:r>
      <w:rPr>
        <w:noProof/>
      </w:rPr>
      <w:fldChar w:fldCharType="end"/>
    </w:r>
  </w:p>
  <w:p w:rsidR="00F830DD" w:rsidP="00F830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F5F7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F5F79">
      <w:t>Service and Creative Skills Australia</w:t>
    </w:r>
    <w:r w:rsidR="00CF5F79">
      <w:fldChar w:fldCharType="end"/>
    </w:r>
  </w:p>
  <w:p w:rsidR="00F830DD" w:rsidP="00F830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0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F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30DD" w:rsidRPr="00CF5F79" w:rsidP="00CF5F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0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F79" w:rsidRPr="002D2AF8" w:rsidP="00F830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SIFEMWK009 Apply anatomy and physiology principles to embalming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F5F79" w:rsidP="00F830D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0DD" w:rsidRPr="002D2AF8" w:rsidP="00F830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F5F79">
      <w:t>SIFEMWK009 Apply anatomy and physiology principles to embalming</w:t>
    </w:r>
    <w:r w:rsidR="00CF5F7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F5F79">
      <w:rPr>
        <w:noProof/>
      </w:rPr>
      <w:t>2 March 2025</w:t>
    </w:r>
    <w:r>
      <w:fldChar w:fldCharType="end"/>
    </w:r>
  </w:p>
  <w:p w:rsidR="00F830DD" w:rsidP="00F830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5E74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4E42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2464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30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30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30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30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30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30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30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30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30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30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30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30DD"/>
  </w:style>
  <w:style w:type="character" w:customStyle="1" w:styleId="Heading1Char">
    <w:name w:val="Heading 1 Char"/>
    <w:basedOn w:val="DefaultParagraphFont"/>
    <w:link w:val="Heading1"/>
    <w:rsid w:val="00F830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30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30D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830D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830D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30DD"/>
    <w:rPr>
      <w:b/>
      <w:spacing w:val="0"/>
    </w:rPr>
  </w:style>
  <w:style w:type="paragraph" w:styleId="ListBullet2">
    <w:name w:val="List Bullet 2"/>
    <w:basedOn w:val="List2"/>
    <w:rsid w:val="00F830D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830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30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30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30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30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30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30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30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30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30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30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30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30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30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30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30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30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30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30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30D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830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30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30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30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30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30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30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30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30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30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30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30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30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30DD"/>
    <w:rPr>
      <w:i/>
    </w:rPr>
  </w:style>
  <w:style w:type="paragraph" w:styleId="Caption">
    <w:name w:val="caption"/>
    <w:basedOn w:val="BodyText"/>
    <w:next w:val="Normal"/>
    <w:qFormat/>
    <w:rsid w:val="00F830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30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30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30DD"/>
  </w:style>
  <w:style w:type="paragraph" w:styleId="TableofFigures">
    <w:name w:val="table of figures"/>
    <w:basedOn w:val="Normal"/>
    <w:next w:val="Normal"/>
    <w:semiHidden/>
    <w:rsid w:val="00F830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30D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830DD"/>
    <w:rPr>
      <w:rFonts w:ascii="Wingdings" w:hAnsi="Wingdings"/>
    </w:rPr>
  </w:style>
  <w:style w:type="paragraph" w:customStyle="1" w:styleId="TableHeading">
    <w:name w:val="Table Heading"/>
    <w:basedOn w:val="HeadingBase"/>
    <w:rsid w:val="00F830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30DD"/>
    <w:rPr>
      <w:color w:val="0033CC"/>
      <w:u w:val="none"/>
    </w:rPr>
  </w:style>
  <w:style w:type="paragraph" w:customStyle="1" w:styleId="BodyTextRight">
    <w:name w:val="Body Text Right"/>
    <w:basedOn w:val="BodyText"/>
    <w:rsid w:val="00F830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30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30D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30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30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30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30DD"/>
    <w:rPr>
      <w:sz w:val="32"/>
    </w:rPr>
  </w:style>
  <w:style w:type="paragraph" w:customStyle="1" w:styleId="HeadingProcedure">
    <w:name w:val="Heading Procedure"/>
    <w:basedOn w:val="HeadingBase"/>
    <w:next w:val="Normal"/>
    <w:rsid w:val="00F830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30DD"/>
    <w:pPr>
      <w:spacing w:before="60" w:after="60"/>
    </w:pPr>
  </w:style>
  <w:style w:type="paragraph" w:styleId="ListContinue">
    <w:name w:val="List Continue"/>
    <w:basedOn w:val="List"/>
    <w:rsid w:val="00F830DD"/>
    <w:pPr>
      <w:ind w:firstLine="0"/>
    </w:pPr>
  </w:style>
  <w:style w:type="paragraph" w:customStyle="1" w:styleId="ListNote">
    <w:name w:val="List Note"/>
    <w:basedOn w:val="List"/>
    <w:rsid w:val="00F830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30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30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30DD"/>
    <w:rPr>
      <w:rFonts w:ascii="Courier New" w:hAnsi="Courier New"/>
    </w:rPr>
  </w:style>
  <w:style w:type="paragraph" w:customStyle="1" w:styleId="NoteBullet">
    <w:name w:val="Note Bullet"/>
    <w:basedOn w:val="Note"/>
    <w:rsid w:val="00F830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30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30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30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30D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30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30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30DD"/>
    <w:rPr>
      <w:b/>
      <w:smallCaps/>
    </w:rPr>
  </w:style>
  <w:style w:type="paragraph" w:customStyle="1" w:styleId="TableListNumber">
    <w:name w:val="Table List Number"/>
    <w:basedOn w:val="ListNumber"/>
    <w:rsid w:val="00F830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30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30DD"/>
    <w:pPr>
      <w:numPr>
        <w:numId w:val="9"/>
      </w:numPr>
    </w:pPr>
  </w:style>
  <w:style w:type="paragraph" w:customStyle="1" w:styleId="ListAlpha2">
    <w:name w:val="List Alpha 2"/>
    <w:basedOn w:val="List2"/>
    <w:rsid w:val="00F830DD"/>
    <w:pPr>
      <w:numPr>
        <w:numId w:val="8"/>
      </w:numPr>
    </w:pPr>
  </w:style>
  <w:style w:type="paragraph" w:styleId="List2">
    <w:name w:val="List 2"/>
    <w:basedOn w:val="BodyText"/>
    <w:rsid w:val="00F830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30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30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30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30D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30D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30DD"/>
    <w:pPr>
      <w:numPr>
        <w:numId w:val="4"/>
      </w:numPr>
    </w:pPr>
  </w:style>
  <w:style w:type="paragraph" w:styleId="ListContinue2">
    <w:name w:val="List Continue 2"/>
    <w:basedOn w:val="List2"/>
    <w:rsid w:val="00F830DD"/>
    <w:pPr>
      <w:ind w:firstLine="0"/>
    </w:pPr>
  </w:style>
  <w:style w:type="paragraph" w:styleId="ListContinue3">
    <w:name w:val="List Continue 3"/>
    <w:basedOn w:val="List3"/>
    <w:rsid w:val="00F830DD"/>
    <w:pPr>
      <w:ind w:left="1021" w:firstLine="0"/>
    </w:pPr>
  </w:style>
  <w:style w:type="paragraph" w:styleId="ListContinue4">
    <w:name w:val="List Continue 4"/>
    <w:basedOn w:val="List4"/>
    <w:rsid w:val="00F830DD"/>
    <w:pPr>
      <w:ind w:firstLine="0"/>
    </w:pPr>
  </w:style>
  <w:style w:type="paragraph" w:styleId="ListContinue5">
    <w:name w:val="List Continue 5"/>
    <w:basedOn w:val="List5"/>
    <w:rsid w:val="00F830DD"/>
    <w:pPr>
      <w:ind w:firstLine="0"/>
    </w:pPr>
  </w:style>
  <w:style w:type="paragraph" w:styleId="ListNumber3">
    <w:name w:val="List Number 3"/>
    <w:basedOn w:val="List3"/>
    <w:rsid w:val="00F830DD"/>
    <w:pPr>
      <w:numPr>
        <w:numId w:val="5"/>
      </w:numPr>
    </w:pPr>
  </w:style>
  <w:style w:type="paragraph" w:styleId="ListNumber4">
    <w:name w:val="List Number 4"/>
    <w:basedOn w:val="List4"/>
    <w:rsid w:val="00F830DD"/>
    <w:pPr>
      <w:numPr>
        <w:numId w:val="6"/>
      </w:numPr>
    </w:pPr>
  </w:style>
  <w:style w:type="paragraph" w:styleId="ListNumber5">
    <w:name w:val="List Number 5"/>
    <w:basedOn w:val="List5"/>
    <w:rsid w:val="00F830DD"/>
    <w:pPr>
      <w:numPr>
        <w:numId w:val="7"/>
      </w:numPr>
    </w:pPr>
  </w:style>
  <w:style w:type="paragraph" w:styleId="BlockText">
    <w:name w:val="Block Text"/>
    <w:basedOn w:val="Normal"/>
    <w:rsid w:val="00F830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30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30DD"/>
    <w:rPr>
      <w:sz w:val="16"/>
      <w:vertAlign w:val="superscript"/>
    </w:rPr>
  </w:style>
  <w:style w:type="character" w:customStyle="1" w:styleId="Symbols">
    <w:name w:val="Symbols"/>
    <w:basedOn w:val="DefaultParagraphFont"/>
    <w:rsid w:val="00F830DD"/>
    <w:rPr>
      <w:rFonts w:ascii="Symbol" w:hAnsi="Symbol"/>
    </w:rPr>
  </w:style>
  <w:style w:type="character" w:customStyle="1" w:styleId="MenuOptions">
    <w:name w:val="Menu Options"/>
    <w:basedOn w:val="DefaultParagraphFont"/>
    <w:rsid w:val="00F830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30DD"/>
    <w:rPr>
      <w:b/>
    </w:rPr>
  </w:style>
  <w:style w:type="character" w:customStyle="1" w:styleId="Underlined">
    <w:name w:val="Underlined"/>
    <w:basedOn w:val="DefaultParagraphFont"/>
    <w:rsid w:val="00F830DD"/>
    <w:rPr>
      <w:u w:val="single"/>
    </w:rPr>
  </w:style>
  <w:style w:type="paragraph" w:customStyle="1" w:styleId="TableBodyTextRight">
    <w:name w:val="Table Body Text Right"/>
    <w:basedOn w:val="TableBodyText"/>
    <w:rsid w:val="00F830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30DD"/>
    <w:rPr>
      <w:sz w:val="18"/>
    </w:rPr>
  </w:style>
  <w:style w:type="paragraph" w:customStyle="1" w:styleId="BodySmallRight">
    <w:name w:val="Body Small Right"/>
    <w:basedOn w:val="BodyTextRight"/>
    <w:rsid w:val="00F830DD"/>
    <w:rPr>
      <w:sz w:val="18"/>
      <w:szCs w:val="18"/>
    </w:rPr>
  </w:style>
  <w:style w:type="paragraph" w:customStyle="1" w:styleId="MarginEdition">
    <w:name w:val="Margin Edition"/>
    <w:basedOn w:val="MarginNote"/>
    <w:rsid w:val="00F830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30DD"/>
    <w:rPr>
      <w:sz w:val="2"/>
      <w:szCs w:val="2"/>
    </w:rPr>
  </w:style>
  <w:style w:type="character" w:customStyle="1" w:styleId="Small">
    <w:name w:val="Small"/>
    <w:basedOn w:val="DefaultParagraphFont"/>
    <w:rsid w:val="00F830DD"/>
    <w:rPr>
      <w:sz w:val="16"/>
    </w:rPr>
  </w:style>
  <w:style w:type="paragraph" w:customStyle="1" w:styleId="WideTable">
    <w:name w:val="Wide Table"/>
    <w:basedOn w:val="Normal"/>
    <w:rsid w:val="00F830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30DD"/>
  </w:style>
  <w:style w:type="paragraph" w:styleId="Quote">
    <w:name w:val="Quote"/>
    <w:basedOn w:val="Heading1"/>
    <w:link w:val="QuoteChar"/>
    <w:qFormat/>
    <w:rsid w:val="00F830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30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30DD"/>
    <w:pPr>
      <w:pageBreakBefore/>
    </w:pPr>
  </w:style>
  <w:style w:type="paragraph" w:customStyle="1" w:styleId="Border">
    <w:name w:val="Border"/>
    <w:basedOn w:val="Normal"/>
    <w:qFormat/>
    <w:rsid w:val="00F830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30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30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30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30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30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30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30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30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30DD"/>
    <w:rPr>
      <w:u w:val="single"/>
    </w:rPr>
  </w:style>
  <w:style w:type="character" w:customStyle="1" w:styleId="BoldandItalics">
    <w:name w:val="Bold and Italics"/>
    <w:qFormat/>
    <w:rsid w:val="00F830DD"/>
    <w:rPr>
      <w:b/>
      <w:i/>
      <w:u w:val="none"/>
    </w:rPr>
  </w:style>
  <w:style w:type="paragraph" w:styleId="BalloonText">
    <w:name w:val="Balloon Text"/>
    <w:basedOn w:val="Normal"/>
    <w:link w:val="BalloonTextChar"/>
    <w:rsid w:val="00F830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30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30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30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30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30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30DD"/>
    <w:pPr>
      <w:spacing w:before="0" w:after="0"/>
    </w:pPr>
  </w:style>
  <w:style w:type="paragraph" w:customStyle="1" w:styleId="BodyTextBold">
    <w:name w:val="Body Text Bold"/>
    <w:basedOn w:val="BodyText"/>
    <w:qFormat/>
    <w:rsid w:val="00F830DD"/>
    <w:rPr>
      <w:b/>
    </w:rPr>
  </w:style>
  <w:style w:type="character" w:styleId="Hyperlink">
    <w:name w:val="Hyperlink"/>
    <w:basedOn w:val="DefaultParagraphFont"/>
    <w:uiPriority w:val="99"/>
    <w:unhideWhenUsed/>
    <w:rsid w:val="00CF5F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630</Words>
  <Characters>4026</Characters>
  <Application>Microsoft Office Word</Application>
  <DocSecurity>0</DocSecurity>
  <Lines>129</Lines>
  <Paragraphs>78</Paragraphs>
  <ScaleCrop>false</ScaleCrop>
  <Company>Author-it Software Corporation Ltd.</Company>
  <LinksUpToDate>false</LinksUpToDate>
  <CharactersWithSpaces>4578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SIFEMWK009 Apply anatomy and physiology principles to embalming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2025-03-01T18:02:00Z</dcterms:created>
  <dcterms:modified xsi:type="dcterms:W3CDTF">2025-03-01T18:02:00Z</dcterms:modified>
</cp:coreProperties>
</file>