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410D" w:rsidP="009B41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SIFEMWK007 Treat abdominal and thoracic cavities</w:t>
      </w:r>
      <w:r>
        <w:fldChar w:fldCharType="end"/>
      </w:r>
    </w:p>
    <w:p w:rsidR="009B410D" w:rsidP="009B410D">
      <w:pPr>
        <w:pStyle w:val="Version"/>
        <w:sectPr w:rsidSect="009550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502B" w:rsidP="0095502B">
      <w:pPr>
        <w:pStyle w:val="SuperHeading"/>
      </w:pPr>
      <w:r w:rsidRPr="0095502B">
        <w:t>Assessment Requirements for SIFEMWK007 Treat abdominal and thoracic cavities</w:t>
      </w:r>
    </w:p>
    <w:p w:rsidR="00000000" w:rsidRPr="0095502B" w:rsidP="0095502B">
      <w:pPr>
        <w:pStyle w:val="Heading1"/>
      </w:pPr>
      <w:bookmarkStart w:id="1" w:name="O_571788"/>
      <w:bookmarkEnd w:id="1"/>
      <w:r w:rsidRPr="0095502B">
        <w:t>Modification History</w:t>
      </w:r>
    </w:p>
    <w:p w:rsidR="00000000" w:rsidRPr="0095502B" w:rsidP="009B410D">
      <w:pPr>
        <w:pStyle w:val="BodyText"/>
      </w:pPr>
      <w:r w:rsidRPr="0095502B">
        <w:t>Not applicable.</w:t>
      </w:r>
    </w:p>
    <w:p w:rsidR="00000000" w:rsidRPr="0095502B" w:rsidP="0095502B">
      <w:pPr>
        <w:pStyle w:val="Heading1"/>
      </w:pPr>
      <w:bookmarkStart w:id="2" w:name="O_571789"/>
      <w:bookmarkEnd w:id="2"/>
      <w:r w:rsidRPr="0095502B">
        <w:t>Performance Evidence</w:t>
      </w:r>
    </w:p>
    <w:p w:rsidR="00000000" w:rsidRPr="0095502B" w:rsidP="009B410D">
      <w:pPr>
        <w:pStyle w:val="BodyText"/>
      </w:pPr>
      <w:r w:rsidRPr="0095502B">
        <w:t>Evidence of the ability to:</w:t>
      </w:r>
    </w:p>
    <w:p w:rsidR="00000000" w:rsidRPr="0095502B" w:rsidP="0095502B">
      <w:pPr>
        <w:pStyle w:val="ListBullet"/>
      </w:pPr>
      <w:r w:rsidRPr="0095502B">
        <w:t>identify treatment requirements through a pre-embalming case analysis and perform abdominal and thoracic cavity treatments using correct techniques and following work health and safety/occupational health and safety and infection control practices</w:t>
      </w:r>
    </w:p>
    <w:p w:rsidR="00000000" w:rsidRPr="0095502B" w:rsidP="0095502B">
      <w:pPr>
        <w:pStyle w:val="ListBullet"/>
      </w:pPr>
      <w:r w:rsidRPr="0095502B">
        <w:t xml:space="preserve">prepare </w:t>
      </w:r>
      <w:r w:rsidRPr="0095502B">
        <w:t xml:space="preserve">mortuary area and select and use the required instruments and equipment </w:t>
      </w:r>
    </w:p>
    <w:p w:rsidR="00000000" w:rsidRPr="0095502B" w:rsidP="0095502B">
      <w:pPr>
        <w:pStyle w:val="ListBullet"/>
      </w:pPr>
      <w:r w:rsidRPr="0095502B">
        <w:t>clean, disinfect and sterilise the mortuary area, instruments and equipment at conclusion of the treatment</w:t>
      </w:r>
    </w:p>
    <w:p w:rsidR="00000000" w:rsidRPr="0095502B" w:rsidP="0095502B">
      <w:pPr>
        <w:pStyle w:val="ListBullet"/>
      </w:pPr>
      <w:r w:rsidRPr="0095502B">
        <w:t>complete case analysis reports.</w:t>
      </w:r>
    </w:p>
    <w:p w:rsidR="00000000" w:rsidRPr="0095502B" w:rsidP="0095502B">
      <w:pPr>
        <w:pStyle w:val="BodyText"/>
      </w:pPr>
    </w:p>
    <w:p w:rsidR="00000000" w:rsidRPr="0095502B" w:rsidP="009B410D">
      <w:pPr>
        <w:pStyle w:val="BodyText"/>
      </w:pPr>
      <w:r w:rsidRPr="0095502B">
        <w:t>Evidence of performance of treating the abd</w:t>
      </w:r>
      <w:r w:rsidRPr="0095502B">
        <w:t>ominal and thoracic cavities of different cases on two or more occasions is required to demonstrate consistency of performance and ability to respond to different situations.</w:t>
      </w:r>
    </w:p>
    <w:p w:rsidR="00000000" w:rsidRPr="0095502B" w:rsidP="0095502B">
      <w:pPr>
        <w:pStyle w:val="Heading1"/>
      </w:pPr>
      <w:bookmarkStart w:id="3" w:name="O_571790"/>
      <w:bookmarkEnd w:id="3"/>
      <w:r w:rsidRPr="0095502B">
        <w:t>Knowledge Evidence</w:t>
      </w:r>
    </w:p>
    <w:p w:rsidR="00000000" w:rsidRPr="0095502B" w:rsidP="009B410D">
      <w:pPr>
        <w:pStyle w:val="BodyText"/>
      </w:pPr>
      <w:r w:rsidRPr="0095502B">
        <w:t>Demonstrated knowledge of:</w:t>
      </w:r>
    </w:p>
    <w:p w:rsidR="00000000" w:rsidRPr="0095502B" w:rsidP="0095502B">
      <w:pPr>
        <w:pStyle w:val="ListBullet"/>
      </w:pPr>
      <w:r w:rsidRPr="0095502B">
        <w:t>mortuary instrume</w:t>
      </w:r>
      <w:r w:rsidRPr="0095502B">
        <w:t>nts and equipment used for treating abdominal and thoracic cavities and associated uses</w:t>
      </w:r>
    </w:p>
    <w:p w:rsidR="00000000" w:rsidRPr="0095502B" w:rsidP="0095502B">
      <w:pPr>
        <w:pStyle w:val="ListBullet"/>
      </w:pPr>
      <w:r w:rsidRPr="0095502B">
        <w:t>techniques for body examination</w:t>
      </w:r>
    </w:p>
    <w:p w:rsidR="00000000" w:rsidRPr="0095502B" w:rsidP="0095502B">
      <w:pPr>
        <w:pStyle w:val="ListBullet"/>
      </w:pPr>
      <w:r w:rsidRPr="0095502B">
        <w:t>organs relating to the abdominal and thoracic cavities and their treatment during the embalming process, including:</w:t>
      </w:r>
    </w:p>
    <w:p w:rsidR="00000000" w:rsidRPr="0095502B" w:rsidP="0095502B">
      <w:pPr>
        <w:pStyle w:val="ListBullet2"/>
      </w:pPr>
      <w:r w:rsidRPr="0095502B">
        <w:t>upper body and thor</w:t>
      </w:r>
      <w:r w:rsidRPr="0095502B">
        <w:t>acic areas:</w:t>
      </w:r>
    </w:p>
    <w:p w:rsidR="00000000" w:rsidRPr="0095502B" w:rsidP="0095502B">
      <w:pPr>
        <w:pStyle w:val="ListBullet3"/>
      </w:pPr>
      <w:r w:rsidRPr="0095502B">
        <w:t>right atrium of the heart</w:t>
      </w:r>
    </w:p>
    <w:p w:rsidR="00000000" w:rsidRPr="0095502B" w:rsidP="0095502B">
      <w:pPr>
        <w:pStyle w:val="ListBullet3"/>
      </w:pPr>
      <w:r w:rsidRPr="0095502B">
        <w:t>right lung</w:t>
      </w:r>
    </w:p>
    <w:p w:rsidR="00000000" w:rsidRPr="0095502B" w:rsidP="0095502B">
      <w:pPr>
        <w:pStyle w:val="ListBullet3"/>
      </w:pPr>
      <w:r w:rsidRPr="0095502B">
        <w:t>left lung</w:t>
      </w:r>
    </w:p>
    <w:p w:rsidR="00000000" w:rsidRPr="0095502B" w:rsidP="0095502B">
      <w:pPr>
        <w:pStyle w:val="ListBullet3"/>
      </w:pPr>
      <w:r w:rsidRPr="0095502B">
        <w:t>thoracic cavity</w:t>
      </w:r>
    </w:p>
    <w:p w:rsidR="00000000" w:rsidRPr="0095502B" w:rsidP="0095502B">
      <w:pPr>
        <w:pStyle w:val="ListBullet2"/>
      </w:pPr>
      <w:r w:rsidRPr="0095502B">
        <w:t>lower body and abdominal organs:</w:t>
      </w:r>
    </w:p>
    <w:p w:rsidR="00000000" w:rsidRPr="0095502B" w:rsidP="0095502B">
      <w:pPr>
        <w:pStyle w:val="ListBullet3"/>
      </w:pPr>
      <w:r w:rsidRPr="0095502B">
        <w:t>abdominal cavity</w:t>
      </w:r>
    </w:p>
    <w:p w:rsidR="00000000" w:rsidRPr="0095502B" w:rsidP="0095502B">
      <w:pPr>
        <w:pStyle w:val="ListBullet3"/>
      </w:pPr>
      <w:r w:rsidRPr="0095502B">
        <w:t>viscera</w:t>
      </w:r>
    </w:p>
    <w:p w:rsidR="00000000" w:rsidRPr="0095502B" w:rsidP="0095502B">
      <w:pPr>
        <w:pStyle w:val="ListBullet3"/>
      </w:pPr>
      <w:r w:rsidRPr="0095502B">
        <w:t>alimentary canal</w:t>
      </w:r>
    </w:p>
    <w:p w:rsidR="00000000" w:rsidRPr="0095502B" w:rsidP="0095502B">
      <w:pPr>
        <w:pStyle w:val="ListBullet3"/>
      </w:pPr>
      <w:r w:rsidRPr="0095502B">
        <w:t>stomach</w:t>
      </w:r>
    </w:p>
    <w:p w:rsidR="00000000" w:rsidRPr="0095502B" w:rsidP="0095502B">
      <w:pPr>
        <w:pStyle w:val="ListBullet3"/>
      </w:pPr>
      <w:r w:rsidRPr="0095502B">
        <w:t>liver</w:t>
      </w:r>
    </w:p>
    <w:p w:rsidR="00000000" w:rsidRPr="0095502B" w:rsidP="0095502B">
      <w:pPr>
        <w:pStyle w:val="ListBullet3"/>
      </w:pPr>
      <w:r w:rsidRPr="0095502B">
        <w:t>small and large intestine</w:t>
      </w:r>
    </w:p>
    <w:p w:rsidR="00000000" w:rsidRPr="0095502B" w:rsidP="0095502B">
      <w:pPr>
        <w:pStyle w:val="ListBullet3"/>
      </w:pPr>
      <w:r w:rsidRPr="0095502B">
        <w:t>pancreas</w:t>
      </w:r>
    </w:p>
    <w:p w:rsidR="00000000" w:rsidRPr="0095502B" w:rsidP="0095502B">
      <w:pPr>
        <w:pStyle w:val="ListBullet3"/>
      </w:pPr>
      <w:r w:rsidRPr="0095502B">
        <w:t>spleen</w:t>
      </w:r>
    </w:p>
    <w:p w:rsidR="00000000" w:rsidRPr="0095502B" w:rsidP="0095502B">
      <w:pPr>
        <w:pStyle w:val="ListBullet3"/>
      </w:pPr>
      <w:r w:rsidRPr="0095502B">
        <w:t>gall bladder</w:t>
      </w:r>
    </w:p>
    <w:p w:rsidR="00000000" w:rsidRPr="0095502B" w:rsidP="0095502B">
      <w:pPr>
        <w:pStyle w:val="ListBullet3"/>
      </w:pPr>
      <w:r w:rsidRPr="0095502B">
        <w:t>blood vessels</w:t>
      </w:r>
    </w:p>
    <w:p w:rsidR="00000000" w:rsidRPr="0095502B" w:rsidP="0095502B">
      <w:pPr>
        <w:pStyle w:val="ListBullet3"/>
      </w:pPr>
      <w:r w:rsidRPr="0095502B">
        <w:t>appendix</w:t>
      </w:r>
    </w:p>
    <w:p w:rsidR="00000000" w:rsidRPr="0095502B" w:rsidP="0095502B">
      <w:pPr>
        <w:pStyle w:val="ListBullet3"/>
      </w:pPr>
      <w:r w:rsidRPr="0095502B">
        <w:t>bladder</w:t>
      </w:r>
    </w:p>
    <w:p w:rsidR="00000000" w:rsidRPr="0095502B" w:rsidP="0095502B">
      <w:pPr>
        <w:pStyle w:val="ListBullet3"/>
      </w:pPr>
      <w:r w:rsidRPr="0095502B">
        <w:t>kidneys</w:t>
      </w:r>
    </w:p>
    <w:p w:rsidR="00000000" w:rsidRPr="0095502B" w:rsidP="0095502B">
      <w:pPr>
        <w:pStyle w:val="ListBullet3"/>
      </w:pPr>
      <w:r w:rsidRPr="0095502B">
        <w:t>uterus</w:t>
      </w:r>
    </w:p>
    <w:p w:rsidR="00000000" w:rsidRPr="0095502B" w:rsidP="0095502B">
      <w:pPr>
        <w:pStyle w:val="ListBullet3"/>
      </w:pPr>
      <w:r w:rsidRPr="0095502B">
        <w:t>rectum</w:t>
      </w:r>
    </w:p>
    <w:p w:rsidR="00000000" w:rsidRPr="0095502B" w:rsidP="0095502B">
      <w:pPr>
        <w:pStyle w:val="ListBullet"/>
      </w:pPr>
      <w:r w:rsidRPr="0095502B">
        <w:t>invasive and non</w:t>
      </w:r>
      <w:r w:rsidRPr="0095502B">
        <w:noBreakHyphen/>
        <w:t>invasive medical paraphernalia</w:t>
      </w:r>
    </w:p>
    <w:p w:rsidR="00000000" w:rsidRPr="0095502B" w:rsidP="0095502B">
      <w:pPr>
        <w:pStyle w:val="ListBullet"/>
      </w:pPr>
      <w:r w:rsidRPr="0095502B">
        <w:t>trocar insertion and suturing procedures</w:t>
      </w:r>
    </w:p>
    <w:p w:rsidR="00000000" w:rsidRPr="0095502B" w:rsidP="0095502B">
      <w:pPr>
        <w:pStyle w:val="ListBullet"/>
      </w:pPr>
      <w:r w:rsidRPr="0095502B">
        <w:t>hazards, complications and problems that may be associated with abdominal and thoracic cavities treatment, including but not restricted to:</w:t>
      </w:r>
    </w:p>
    <w:p w:rsidR="00000000" w:rsidRPr="0095502B" w:rsidP="0095502B">
      <w:pPr>
        <w:pStyle w:val="ListBullet2"/>
      </w:pPr>
      <w:r w:rsidRPr="0095502B">
        <w:t>sha</w:t>
      </w:r>
      <w:r w:rsidRPr="0095502B">
        <w:t>rps injuries</w:t>
      </w:r>
    </w:p>
    <w:p w:rsidR="00000000" w:rsidRPr="0095502B" w:rsidP="0095502B">
      <w:pPr>
        <w:pStyle w:val="ListBullet2"/>
      </w:pPr>
      <w:r w:rsidRPr="0095502B">
        <w:t>needle stick injuries</w:t>
      </w:r>
    </w:p>
    <w:p w:rsidR="00000000" w:rsidRPr="0095502B" w:rsidP="0095502B">
      <w:pPr>
        <w:pStyle w:val="ListBullet2"/>
      </w:pPr>
      <w:r w:rsidRPr="0095502B">
        <w:t>blood splash</w:t>
      </w:r>
    </w:p>
    <w:p w:rsidR="00000000" w:rsidRPr="0095502B" w:rsidP="0095502B">
      <w:pPr>
        <w:pStyle w:val="ListBullet2"/>
      </w:pPr>
      <w:r w:rsidRPr="0095502B">
        <w:t>infection</w:t>
      </w:r>
    </w:p>
    <w:p w:rsidR="00000000" w:rsidRPr="0095502B" w:rsidP="0095502B">
      <w:pPr>
        <w:pStyle w:val="ListBullet2"/>
      </w:pPr>
      <w:r w:rsidRPr="0095502B">
        <w:t>chemical spill</w:t>
      </w:r>
    </w:p>
    <w:p w:rsidR="00000000" w:rsidRPr="0095502B" w:rsidP="0095502B">
      <w:pPr>
        <w:pStyle w:val="ListBullet2"/>
      </w:pPr>
      <w:r w:rsidRPr="0095502B">
        <w:t>wet area</w:t>
      </w:r>
    </w:p>
    <w:p w:rsidR="00000000" w:rsidRPr="0095502B" w:rsidP="0095502B">
      <w:pPr>
        <w:pStyle w:val="ListBullet"/>
      </w:pPr>
      <w:r w:rsidRPr="0095502B">
        <w:t>workplace policies and procedures for treating abdominal and thoracic cavities</w:t>
      </w:r>
    </w:p>
    <w:p w:rsidR="00000000" w:rsidRPr="0095502B" w:rsidP="0095502B">
      <w:pPr>
        <w:pStyle w:val="ListBullet"/>
      </w:pPr>
      <w:r w:rsidRPr="0095502B">
        <w:t>environmentally sound disposal methods for all types of waste and in particular for hazardous substances</w:t>
      </w:r>
    </w:p>
    <w:p w:rsidR="00000000" w:rsidRPr="0095502B" w:rsidP="0095502B">
      <w:pPr>
        <w:pStyle w:val="ListBullet"/>
      </w:pPr>
      <w:r w:rsidRPr="0095502B">
        <w:t>funeral services industry parameters and protocols for dealing with the deceased, including social cultural and religious requirements considerations</w:t>
      </w:r>
    </w:p>
    <w:p w:rsidR="00000000" w:rsidRPr="0095502B" w:rsidP="0095502B">
      <w:pPr>
        <w:pStyle w:val="ListBullet"/>
      </w:pPr>
      <w:r w:rsidRPr="0095502B">
        <w:t>f</w:t>
      </w:r>
      <w:r w:rsidRPr="0095502B">
        <w:t>ederal, state or territory, and local government legislation and regulations relating to work health and safety/occupational health and safety, infection control and handling human remains.</w:t>
      </w:r>
    </w:p>
    <w:p w:rsidR="00000000" w:rsidRPr="0095502B" w:rsidP="0095502B">
      <w:pPr>
        <w:pStyle w:val="AllowPageBreak"/>
      </w:pPr>
    </w:p>
    <w:p w:rsidR="00000000" w:rsidRPr="0095502B" w:rsidP="0095502B">
      <w:pPr>
        <w:pStyle w:val="Heading1"/>
      </w:pPr>
      <w:bookmarkStart w:id="4" w:name="O_571791"/>
      <w:bookmarkEnd w:id="4"/>
      <w:r w:rsidRPr="0095502B">
        <w:t>Assessment Conditions</w:t>
      </w:r>
    </w:p>
    <w:p w:rsidR="00000000" w:rsidRPr="0095502B" w:rsidP="009B410D">
      <w:pPr>
        <w:pStyle w:val="BodyText"/>
      </w:pPr>
      <w:r w:rsidRPr="0095502B">
        <w:t>Skills must be demonstrated</w:t>
      </w:r>
      <w:r w:rsidRPr="0095502B">
        <w:t xml:space="preserve"> in a mortuary workplace:</w:t>
      </w:r>
    </w:p>
    <w:p w:rsidR="00000000" w:rsidRPr="0095502B" w:rsidP="0095502B">
      <w:pPr>
        <w:pStyle w:val="ListBullet"/>
      </w:pPr>
      <w:r w:rsidRPr="0095502B">
        <w:t>using suitable equipment and resources, including:</w:t>
      </w:r>
    </w:p>
    <w:p w:rsidR="00000000" w:rsidRPr="0095502B" w:rsidP="0095502B">
      <w:pPr>
        <w:pStyle w:val="ListBullet2"/>
      </w:pPr>
      <w:r w:rsidRPr="0095502B">
        <w:t>deceased bodies requiring abdominal and cavity treatment</w:t>
      </w:r>
    </w:p>
    <w:p w:rsidR="00000000" w:rsidRPr="0095502B" w:rsidP="0095502B">
      <w:pPr>
        <w:pStyle w:val="ListBullet2"/>
      </w:pPr>
      <w:r w:rsidRPr="0095502B">
        <w:t xml:space="preserve">embalming equipment, instruments and chemicals including personal protective equipment </w:t>
      </w:r>
    </w:p>
    <w:p w:rsidR="00000000" w:rsidRPr="0095502B" w:rsidP="0095502B">
      <w:pPr>
        <w:pStyle w:val="ListBullet"/>
      </w:pPr>
      <w:r w:rsidRPr="0095502B">
        <w:t>under industry operating conditions where there is:</w:t>
      </w:r>
    </w:p>
    <w:p w:rsidR="00000000" w:rsidRPr="0095502B" w:rsidP="0095502B">
      <w:pPr>
        <w:pStyle w:val="ListBullet2"/>
      </w:pPr>
      <w:r w:rsidRPr="0095502B">
        <w:t xml:space="preserve">integration of tasks with possible interruptions to work typical of the job role </w:t>
      </w:r>
    </w:p>
    <w:p w:rsidR="00000000" w:rsidRPr="0095502B" w:rsidP="0095502B">
      <w:pPr>
        <w:pStyle w:val="ListBullet2"/>
      </w:pPr>
      <w:r w:rsidRPr="0095502B">
        <w:t xml:space="preserve">speed and timing requirements that reflect commercial operating conditions </w:t>
      </w:r>
    </w:p>
    <w:p w:rsidR="00000000" w:rsidRPr="0095502B" w:rsidP="0095502B">
      <w:pPr>
        <w:pStyle w:val="BodyText"/>
      </w:pPr>
    </w:p>
    <w:p w:rsidR="00000000" w:rsidRPr="0095502B" w:rsidP="009B410D">
      <w:pPr>
        <w:pStyle w:val="BodyText"/>
      </w:pPr>
      <w:r w:rsidRPr="0095502B">
        <w:t>Assessors must satisfy the NVR/AQTF mandator</w:t>
      </w:r>
      <w:r w:rsidRPr="0095502B">
        <w:t>y competency requirements for assessors.</w:t>
      </w:r>
    </w:p>
    <w:p w:rsidR="00000000" w:rsidRPr="0095502B" w:rsidP="009B410D">
      <w:pPr>
        <w:pStyle w:val="BodyText"/>
      </w:pPr>
      <w:r w:rsidRPr="0095502B">
        <w:t>In addition to mandatory requirements, assessors of this unit or at least one person in the assessment team must hold a Certificate IV in Embalming or equivalent.</w:t>
      </w:r>
    </w:p>
    <w:p w:rsidR="00000000" w:rsidRPr="0095502B" w:rsidP="0095502B">
      <w:pPr>
        <w:pStyle w:val="Heading1"/>
      </w:pPr>
      <w:bookmarkStart w:id="5" w:name="O_571793"/>
      <w:bookmarkEnd w:id="5"/>
      <w:r w:rsidRPr="0095502B">
        <w:t>Links</w:t>
      </w:r>
    </w:p>
    <w:p w:rsidR="00000000" w:rsidRPr="0095502B" w:rsidP="009B410D">
      <w:pPr>
        <w:pStyle w:val="BodyText"/>
      </w:pPr>
      <w:r w:rsidRPr="0095502B">
        <w:t>Companion Volume implementat</w:t>
      </w:r>
      <w:r w:rsidRPr="0095502B">
        <w:t xml:space="preserve">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D9631A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95502B" w:rsidP="0095502B"/>
    <w:sectPr w:rsidSect="0095502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0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02B" w:rsidRPr="009B410D" w:rsidP="009B41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0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10D" w:rsidP="009550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B410D" w:rsidP="009550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B410D" w:rsidP="009550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0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1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502B" w:rsidRPr="009B410D" w:rsidP="009B41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0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10D" w:rsidRPr="002D2AF8" w:rsidP="009550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SIFEMWK007 Treat abdominal and thoracic cavities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9B410D" w:rsidP="009550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8960A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5F67E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B6A2C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50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50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50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50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50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50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50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50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50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50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50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502B"/>
  </w:style>
  <w:style w:type="character" w:customStyle="1" w:styleId="Heading1Char">
    <w:name w:val="Heading 1 Char"/>
    <w:basedOn w:val="DefaultParagraphFont"/>
    <w:link w:val="Heading1"/>
    <w:rsid w:val="009550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50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50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502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5502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550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50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5502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550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50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50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50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50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50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50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50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50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50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50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50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50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50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50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50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50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50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50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50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5502B"/>
    <w:rPr>
      <w:b/>
      <w:spacing w:val="0"/>
    </w:rPr>
  </w:style>
  <w:style w:type="paragraph" w:customStyle="1" w:styleId="SuperTitle">
    <w:name w:val="SuperTitle"/>
    <w:basedOn w:val="Title"/>
    <w:rsid w:val="009550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50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50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550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50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50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50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50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50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50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50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50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5502B"/>
    <w:rPr>
      <w:i/>
    </w:rPr>
  </w:style>
  <w:style w:type="paragraph" w:styleId="Caption">
    <w:name w:val="caption"/>
    <w:basedOn w:val="BodyText"/>
    <w:next w:val="Normal"/>
    <w:qFormat/>
    <w:rsid w:val="009550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50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50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502B"/>
  </w:style>
  <w:style w:type="paragraph" w:styleId="TableofFigures">
    <w:name w:val="table of figures"/>
    <w:basedOn w:val="Normal"/>
    <w:next w:val="Normal"/>
    <w:semiHidden/>
    <w:rsid w:val="009550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502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5502B"/>
    <w:rPr>
      <w:rFonts w:ascii="Wingdings" w:hAnsi="Wingdings"/>
    </w:rPr>
  </w:style>
  <w:style w:type="paragraph" w:customStyle="1" w:styleId="TableHeading">
    <w:name w:val="Table Heading"/>
    <w:basedOn w:val="HeadingBase"/>
    <w:rsid w:val="009550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502B"/>
    <w:rPr>
      <w:color w:val="0033CC"/>
      <w:u w:val="none"/>
    </w:rPr>
  </w:style>
  <w:style w:type="paragraph" w:customStyle="1" w:styleId="BodyTextRight">
    <w:name w:val="Body Text Right"/>
    <w:basedOn w:val="BodyText"/>
    <w:rsid w:val="009550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50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502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50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50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50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502B"/>
    <w:rPr>
      <w:sz w:val="32"/>
    </w:rPr>
  </w:style>
  <w:style w:type="paragraph" w:customStyle="1" w:styleId="HeadingProcedure">
    <w:name w:val="Heading Procedure"/>
    <w:basedOn w:val="HeadingBase"/>
    <w:next w:val="Normal"/>
    <w:rsid w:val="009550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502B"/>
    <w:pPr>
      <w:spacing w:before="60" w:after="60"/>
    </w:pPr>
  </w:style>
  <w:style w:type="paragraph" w:styleId="ListContinue">
    <w:name w:val="List Continue"/>
    <w:basedOn w:val="List"/>
    <w:rsid w:val="0095502B"/>
    <w:pPr>
      <w:ind w:firstLine="0"/>
    </w:pPr>
  </w:style>
  <w:style w:type="paragraph" w:customStyle="1" w:styleId="ListNote">
    <w:name w:val="List Note"/>
    <w:basedOn w:val="List"/>
    <w:rsid w:val="009550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50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50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502B"/>
    <w:rPr>
      <w:rFonts w:ascii="Courier New" w:hAnsi="Courier New"/>
    </w:rPr>
  </w:style>
  <w:style w:type="paragraph" w:customStyle="1" w:styleId="NoteBullet">
    <w:name w:val="Note Bullet"/>
    <w:basedOn w:val="Note"/>
    <w:rsid w:val="009550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50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50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50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502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550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50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502B"/>
    <w:rPr>
      <w:b/>
      <w:smallCaps/>
    </w:rPr>
  </w:style>
  <w:style w:type="paragraph" w:customStyle="1" w:styleId="TableListNumber">
    <w:name w:val="Table List Number"/>
    <w:basedOn w:val="ListNumber"/>
    <w:rsid w:val="009550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50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502B"/>
    <w:pPr>
      <w:numPr>
        <w:numId w:val="10"/>
      </w:numPr>
    </w:pPr>
  </w:style>
  <w:style w:type="paragraph" w:customStyle="1" w:styleId="ListAlpha2">
    <w:name w:val="List Alpha 2"/>
    <w:basedOn w:val="List2"/>
    <w:rsid w:val="0095502B"/>
    <w:pPr>
      <w:numPr>
        <w:numId w:val="9"/>
      </w:numPr>
    </w:pPr>
  </w:style>
  <w:style w:type="paragraph" w:styleId="List2">
    <w:name w:val="List 2"/>
    <w:basedOn w:val="BodyText"/>
    <w:rsid w:val="009550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50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50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502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5502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5502B"/>
    <w:pPr>
      <w:numPr>
        <w:numId w:val="5"/>
      </w:numPr>
    </w:pPr>
  </w:style>
  <w:style w:type="paragraph" w:styleId="ListContinue2">
    <w:name w:val="List Continue 2"/>
    <w:basedOn w:val="List2"/>
    <w:rsid w:val="0095502B"/>
    <w:pPr>
      <w:ind w:firstLine="0"/>
    </w:pPr>
  </w:style>
  <w:style w:type="paragraph" w:styleId="ListContinue3">
    <w:name w:val="List Continue 3"/>
    <w:basedOn w:val="List3"/>
    <w:rsid w:val="0095502B"/>
    <w:pPr>
      <w:ind w:left="1021" w:firstLine="0"/>
    </w:pPr>
  </w:style>
  <w:style w:type="paragraph" w:styleId="ListContinue4">
    <w:name w:val="List Continue 4"/>
    <w:basedOn w:val="List4"/>
    <w:rsid w:val="0095502B"/>
    <w:pPr>
      <w:ind w:firstLine="0"/>
    </w:pPr>
  </w:style>
  <w:style w:type="paragraph" w:styleId="ListContinue5">
    <w:name w:val="List Continue 5"/>
    <w:basedOn w:val="List5"/>
    <w:rsid w:val="0095502B"/>
    <w:pPr>
      <w:ind w:firstLine="0"/>
    </w:pPr>
  </w:style>
  <w:style w:type="paragraph" w:styleId="ListNumber3">
    <w:name w:val="List Number 3"/>
    <w:basedOn w:val="List3"/>
    <w:rsid w:val="0095502B"/>
    <w:pPr>
      <w:numPr>
        <w:numId w:val="6"/>
      </w:numPr>
    </w:pPr>
  </w:style>
  <w:style w:type="paragraph" w:styleId="ListNumber4">
    <w:name w:val="List Number 4"/>
    <w:basedOn w:val="List4"/>
    <w:rsid w:val="0095502B"/>
    <w:pPr>
      <w:numPr>
        <w:numId w:val="7"/>
      </w:numPr>
    </w:pPr>
  </w:style>
  <w:style w:type="paragraph" w:styleId="ListNumber5">
    <w:name w:val="List Number 5"/>
    <w:basedOn w:val="List5"/>
    <w:rsid w:val="0095502B"/>
    <w:pPr>
      <w:numPr>
        <w:numId w:val="8"/>
      </w:numPr>
    </w:pPr>
  </w:style>
  <w:style w:type="paragraph" w:styleId="BlockText">
    <w:name w:val="Block Text"/>
    <w:basedOn w:val="Normal"/>
    <w:rsid w:val="009550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50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502B"/>
    <w:rPr>
      <w:sz w:val="16"/>
      <w:vertAlign w:val="superscript"/>
    </w:rPr>
  </w:style>
  <w:style w:type="character" w:customStyle="1" w:styleId="Symbols">
    <w:name w:val="Symbols"/>
    <w:basedOn w:val="DefaultParagraphFont"/>
    <w:rsid w:val="0095502B"/>
    <w:rPr>
      <w:rFonts w:ascii="Symbol" w:hAnsi="Symbol"/>
    </w:rPr>
  </w:style>
  <w:style w:type="character" w:customStyle="1" w:styleId="MenuOptions">
    <w:name w:val="Menu Options"/>
    <w:basedOn w:val="DefaultParagraphFont"/>
    <w:rsid w:val="009550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502B"/>
    <w:rPr>
      <w:b/>
    </w:rPr>
  </w:style>
  <w:style w:type="character" w:customStyle="1" w:styleId="Underlined">
    <w:name w:val="Underlined"/>
    <w:basedOn w:val="DefaultParagraphFont"/>
    <w:rsid w:val="0095502B"/>
    <w:rPr>
      <w:u w:val="single"/>
    </w:rPr>
  </w:style>
  <w:style w:type="paragraph" w:customStyle="1" w:styleId="TableBodyTextRight">
    <w:name w:val="Table Body Text Right"/>
    <w:basedOn w:val="TableBodyText"/>
    <w:rsid w:val="009550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502B"/>
    <w:rPr>
      <w:sz w:val="18"/>
    </w:rPr>
  </w:style>
  <w:style w:type="paragraph" w:customStyle="1" w:styleId="BodySmallRight">
    <w:name w:val="Body Small Right"/>
    <w:basedOn w:val="BodyTextRight"/>
    <w:rsid w:val="0095502B"/>
    <w:rPr>
      <w:sz w:val="18"/>
      <w:szCs w:val="18"/>
    </w:rPr>
  </w:style>
  <w:style w:type="paragraph" w:customStyle="1" w:styleId="MarginEdition">
    <w:name w:val="Margin Edition"/>
    <w:basedOn w:val="MarginNote"/>
    <w:rsid w:val="009550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502B"/>
    <w:rPr>
      <w:sz w:val="2"/>
      <w:szCs w:val="2"/>
    </w:rPr>
  </w:style>
  <w:style w:type="character" w:customStyle="1" w:styleId="Small">
    <w:name w:val="Small"/>
    <w:basedOn w:val="DefaultParagraphFont"/>
    <w:rsid w:val="0095502B"/>
    <w:rPr>
      <w:sz w:val="16"/>
    </w:rPr>
  </w:style>
  <w:style w:type="paragraph" w:customStyle="1" w:styleId="WideTable">
    <w:name w:val="Wide Table"/>
    <w:basedOn w:val="Normal"/>
    <w:rsid w:val="009550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502B"/>
  </w:style>
  <w:style w:type="paragraph" w:styleId="Quote">
    <w:name w:val="Quote"/>
    <w:basedOn w:val="Heading1"/>
    <w:link w:val="QuoteChar"/>
    <w:qFormat/>
    <w:rsid w:val="009550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50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502B"/>
    <w:pPr>
      <w:pageBreakBefore/>
    </w:pPr>
  </w:style>
  <w:style w:type="paragraph" w:customStyle="1" w:styleId="Border">
    <w:name w:val="Border"/>
    <w:basedOn w:val="Normal"/>
    <w:qFormat/>
    <w:rsid w:val="009550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50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50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50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50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50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50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50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50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502B"/>
    <w:rPr>
      <w:u w:val="single"/>
    </w:rPr>
  </w:style>
  <w:style w:type="character" w:customStyle="1" w:styleId="BoldandItalics">
    <w:name w:val="Bold and Italics"/>
    <w:qFormat/>
    <w:rsid w:val="0095502B"/>
    <w:rPr>
      <w:b/>
      <w:i/>
      <w:u w:val="none"/>
    </w:rPr>
  </w:style>
  <w:style w:type="paragraph" w:styleId="BalloonText">
    <w:name w:val="Balloon Text"/>
    <w:basedOn w:val="Normal"/>
    <w:link w:val="BalloonTextChar"/>
    <w:rsid w:val="009550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50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50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50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50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50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502B"/>
    <w:pPr>
      <w:spacing w:before="0" w:after="0"/>
    </w:pPr>
  </w:style>
  <w:style w:type="paragraph" w:customStyle="1" w:styleId="BodyTextBold">
    <w:name w:val="Body Text Bold"/>
    <w:basedOn w:val="BodyText"/>
    <w:qFormat/>
    <w:rsid w:val="0095502B"/>
    <w:rPr>
      <w:b/>
    </w:rPr>
  </w:style>
  <w:style w:type="character" w:styleId="Hyperlink">
    <w:name w:val="Hyperlink"/>
    <w:basedOn w:val="DefaultParagraphFont"/>
    <w:uiPriority w:val="99"/>
    <w:unhideWhenUsed/>
    <w:rsid w:val="009B41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441</Words>
  <Characters>2980</Characters>
  <Application>Microsoft Office Word</Application>
  <DocSecurity>0</DocSecurity>
  <Lines>93</Lines>
  <Paragraphs>74</Paragraphs>
  <ScaleCrop>false</ScaleCrop>
  <Company>Author-it Software Corporation Ltd.</Company>
  <LinksUpToDate>false</LinksUpToDate>
  <CharactersWithSpaces>3347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SIFEMWK007 Treat abdominal and thoracic cavities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2022-04-04T01:32:00Z</dcterms:created>
  <dcterms:modified xsi:type="dcterms:W3CDTF">2022-04-04T01:32:00Z</dcterms:modified>
</cp:coreProperties>
</file>