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23E" w:rsidP="000E12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SIFEMWK004 Coordinate mortuary operations</w:t>
      </w:r>
      <w:r>
        <w:fldChar w:fldCharType="end"/>
      </w:r>
    </w:p>
    <w:p w:rsidR="000E123E" w:rsidP="000E123E">
      <w:pPr>
        <w:pStyle w:val="Version"/>
        <w:sectPr w:rsidSect="007579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796B" w:rsidP="0075796B">
      <w:pPr>
        <w:pStyle w:val="SuperHeading"/>
      </w:pPr>
      <w:r w:rsidRPr="0075796B">
        <w:t>SIFEMWK004 Coordinate mortuary operations</w:t>
      </w:r>
    </w:p>
    <w:p w:rsidR="00000000" w:rsidRPr="0075796B" w:rsidP="0075796B">
      <w:pPr>
        <w:pStyle w:val="Heading1"/>
      </w:pPr>
      <w:bookmarkStart w:id="1" w:name="O_571684"/>
      <w:bookmarkEnd w:id="1"/>
      <w:r w:rsidRPr="0075796B">
        <w:t>Modification History</w:t>
      </w:r>
    </w:p>
    <w:p w:rsidR="00000000" w:rsidRPr="0075796B" w:rsidP="000E123E">
      <w:pPr>
        <w:pStyle w:val="BodyText"/>
      </w:pPr>
      <w:r w:rsidRPr="0075796B">
        <w:t>Not applicable.</w:t>
      </w:r>
    </w:p>
    <w:p w:rsidR="00000000" w:rsidRPr="0075796B" w:rsidP="0075796B">
      <w:pPr>
        <w:pStyle w:val="Heading1"/>
      </w:pPr>
      <w:bookmarkStart w:id="2" w:name="O_571685"/>
      <w:bookmarkEnd w:id="2"/>
      <w:r w:rsidRPr="0075796B">
        <w:t>Application</w:t>
      </w:r>
    </w:p>
    <w:p w:rsidR="00000000" w:rsidRPr="0075796B" w:rsidP="000E123E">
      <w:pPr>
        <w:pStyle w:val="BodyText"/>
      </w:pPr>
      <w:r w:rsidRPr="0075796B">
        <w:t>This unit describes the performance outcomes, skills and knowledge required to coordinate a range of mortuary operations including receiving and releasing decreased persons and maintaining t</w:t>
      </w:r>
      <w:r w:rsidRPr="0075796B">
        <w:t>he mortuary environment and equipment. It applies to funeral home staff working with a level of autonomy and according to work health and safety, relevant legislation and workplace policies and procedures.</w:t>
      </w:r>
    </w:p>
    <w:p w:rsidR="000E123E" w:rsidP="000E123E">
      <w:pPr>
        <w:pStyle w:val="BodyText"/>
      </w:pPr>
      <w:r w:rsidRPr="0075796B">
        <w:t>No licensing, legislative or certification requir</w:t>
      </w:r>
      <w:r w:rsidRPr="0075796B">
        <w:t>ements apply to this unit at the time of publication.</w:t>
      </w:r>
    </w:p>
    <w:p w:rsidR="00000000" w:rsidRPr="0075796B" w:rsidP="0075796B">
      <w:pPr>
        <w:pStyle w:val="Heading1"/>
      </w:pPr>
      <w:bookmarkStart w:id="3" w:name="O_571687"/>
      <w:bookmarkEnd w:id="3"/>
      <w:r w:rsidRPr="0075796B">
        <w:t>Competency Field</w:t>
      </w:r>
    </w:p>
    <w:p w:rsidR="00000000" w:rsidRPr="0075796B" w:rsidP="000E123E">
      <w:pPr>
        <w:pStyle w:val="BodyText"/>
      </w:pPr>
      <w:r w:rsidRPr="0075796B">
        <w:t>Mortuary Work and Embalming</w:t>
      </w:r>
    </w:p>
    <w:p w:rsidR="00000000" w:rsidRPr="0075796B" w:rsidP="0075796B">
      <w:pPr>
        <w:pStyle w:val="Heading1"/>
      </w:pPr>
      <w:bookmarkStart w:id="4" w:name="O_571688"/>
      <w:bookmarkEnd w:id="4"/>
      <w:r w:rsidRPr="0075796B">
        <w:t>Unit Sector</w:t>
      </w:r>
    </w:p>
    <w:p w:rsidR="00000000" w:rsidRPr="0075796B" w:rsidP="000E123E">
      <w:pPr>
        <w:pStyle w:val="BodyText"/>
      </w:pPr>
      <w:r w:rsidRPr="0075796B">
        <w:t>Embalming</w:t>
      </w:r>
    </w:p>
    <w:p w:rsidR="00000000" w:rsidRPr="0075796B" w:rsidP="0075796B">
      <w:pPr>
        <w:pStyle w:val="Heading1"/>
      </w:pPr>
      <w:bookmarkStart w:id="5" w:name="O_571689"/>
      <w:bookmarkEnd w:id="5"/>
      <w:r w:rsidRPr="0075796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E12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96B" w:rsidP="0075796B">
            <w:pPr>
              <w:pStyle w:val="BodyText"/>
            </w:pPr>
            <w:r w:rsidRPr="0075796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96B">
            <w:pPr>
              <w:pStyle w:val="BodyText"/>
              <w:rPr>
                <w:lang w:val="en-NZ"/>
              </w:rPr>
            </w:pPr>
            <w:r w:rsidRPr="0075796B">
              <w:rPr>
                <w:rStyle w:val="SpecialBold"/>
              </w:rPr>
              <w:t>PERFORMANCE CRITERIA</w:t>
            </w:r>
          </w:p>
        </w:tc>
      </w:tr>
      <w:tr w:rsidTr="000E12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96B">
            <w:pPr>
              <w:pStyle w:val="BodyText"/>
              <w:rPr>
                <w:lang w:val="en-NZ"/>
              </w:rPr>
            </w:pPr>
            <w:r w:rsidRPr="0075796B">
              <w:t xml:space="preserve">Elements describe </w:t>
            </w:r>
            <w:r w:rsidRPr="0075796B">
              <w:t>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96B">
            <w:pPr>
              <w:pStyle w:val="BodyText"/>
              <w:rPr>
                <w:lang w:val="en-NZ"/>
              </w:rPr>
            </w:pPr>
            <w:r w:rsidRPr="0075796B">
              <w:t>Performance criteria describe the performance needed to demonstrate achievement of the element.</w:t>
            </w:r>
          </w:p>
        </w:tc>
      </w:tr>
      <w:tr w:rsidTr="000E1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96B">
            <w:pPr>
              <w:pStyle w:val="List"/>
              <w:rPr>
                <w:lang w:val="en-NZ"/>
              </w:rPr>
            </w:pPr>
            <w:r w:rsidRPr="0075796B">
              <w:t>1.</w:t>
            </w:r>
            <w:r w:rsidRPr="0075796B">
              <w:tab/>
              <w:t>Receive deceased persons at a mortuary.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96B" w:rsidP="0075796B">
            <w:pPr>
              <w:pStyle w:val="List"/>
            </w:pPr>
            <w:r w:rsidRPr="0075796B">
              <w:t>1.1</w:t>
            </w:r>
            <w:r w:rsidRPr="0075796B">
              <w:tab/>
              <w:t>Check transfer documentation is correct and complete and process.</w:t>
            </w:r>
          </w:p>
          <w:p w:rsidR="00000000" w:rsidRPr="0075796B" w:rsidP="0075796B">
            <w:pPr>
              <w:pStyle w:val="List"/>
            </w:pPr>
            <w:r w:rsidRPr="0075796B">
              <w:t>1.2</w:t>
            </w:r>
            <w:r w:rsidRPr="0075796B">
              <w:tab/>
            </w:r>
            <w:r w:rsidRPr="0075796B">
              <w:t>Transfer the deceased person from vehicle to mortuary.</w:t>
            </w:r>
          </w:p>
          <w:p w:rsidR="00000000" w:rsidRPr="0075796B" w:rsidP="0075796B">
            <w:pPr>
              <w:pStyle w:val="List"/>
            </w:pPr>
            <w:r w:rsidRPr="0075796B">
              <w:t>1.3</w:t>
            </w:r>
            <w:r w:rsidRPr="0075796B">
              <w:tab/>
              <w:t>Check identification tag of deceased person.</w:t>
            </w:r>
          </w:p>
          <w:p w:rsidR="00000000" w:rsidRPr="0075796B" w:rsidP="0075796B">
            <w:pPr>
              <w:pStyle w:val="List"/>
            </w:pPr>
            <w:r w:rsidRPr="0075796B">
              <w:t>1.4</w:t>
            </w:r>
            <w:r w:rsidRPr="0075796B">
              <w:tab/>
              <w:t>Position the deceased person in mortuary using a headblock.</w:t>
            </w:r>
          </w:p>
          <w:p w:rsidR="00000000" w:rsidRPr="0075796B" w:rsidP="0075796B">
            <w:pPr>
              <w:pStyle w:val="List"/>
            </w:pPr>
            <w:r w:rsidRPr="0075796B">
              <w:t>1.5</w:t>
            </w:r>
            <w:r w:rsidRPr="0075796B">
              <w:tab/>
              <w:t>Complete personal effects register against the deceased’s personal property.</w:t>
            </w:r>
          </w:p>
          <w:p w:rsidR="00000000" w:rsidP="0075796B">
            <w:pPr>
              <w:pStyle w:val="List"/>
              <w:rPr>
                <w:lang w:val="en-NZ"/>
              </w:rPr>
            </w:pPr>
          </w:p>
        </w:tc>
      </w:tr>
      <w:tr w:rsidTr="000E1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96B">
            <w:pPr>
              <w:pStyle w:val="List"/>
              <w:rPr>
                <w:lang w:val="en-NZ"/>
              </w:rPr>
            </w:pPr>
            <w:r w:rsidRPr="0075796B">
              <w:t>2.</w:t>
            </w:r>
            <w:r w:rsidRPr="0075796B">
              <w:tab/>
              <w:t>Ma</w:t>
            </w:r>
            <w:r w:rsidRPr="0075796B">
              <w:t>intain mortuary environment.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96B" w:rsidP="0075796B">
            <w:pPr>
              <w:pStyle w:val="List"/>
            </w:pPr>
            <w:r w:rsidRPr="0075796B">
              <w:t>2.1</w:t>
            </w:r>
            <w:r w:rsidRPr="0075796B">
              <w:tab/>
              <w:t>Update mortuary occupancy register.</w:t>
            </w:r>
          </w:p>
          <w:p w:rsidR="00000000" w:rsidRPr="0075796B" w:rsidP="0075796B">
            <w:pPr>
              <w:pStyle w:val="List"/>
            </w:pPr>
            <w:r w:rsidRPr="0075796B">
              <w:t>2.2</w:t>
            </w:r>
            <w:r w:rsidRPr="0075796B">
              <w:tab/>
              <w:t>Observe and maintain required temperature of mortuary.</w:t>
            </w:r>
          </w:p>
          <w:p w:rsidR="00000000" w:rsidRPr="0075796B" w:rsidP="0075796B">
            <w:pPr>
              <w:pStyle w:val="List"/>
            </w:pPr>
            <w:r w:rsidRPr="0075796B">
              <w:t>2.3</w:t>
            </w:r>
            <w:r w:rsidRPr="0075796B">
              <w:tab/>
              <w:t>Monitor and maintain cleanliness, tidiness and security of the mortuary.</w:t>
            </w:r>
          </w:p>
          <w:p w:rsidR="00000000" w:rsidP="0075796B">
            <w:pPr>
              <w:pStyle w:val="List"/>
              <w:rPr>
                <w:lang w:val="en-NZ"/>
              </w:rPr>
            </w:pPr>
          </w:p>
        </w:tc>
      </w:tr>
      <w:tr w:rsidTr="000E1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96B">
            <w:pPr>
              <w:pStyle w:val="List"/>
              <w:rPr>
                <w:lang w:val="en-NZ"/>
              </w:rPr>
            </w:pPr>
            <w:r w:rsidRPr="0075796B">
              <w:t>3.</w:t>
            </w:r>
            <w:r w:rsidRPr="0075796B">
              <w:tab/>
              <w:t>Maintain mortuary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96B" w:rsidP="0075796B">
            <w:pPr>
              <w:pStyle w:val="List"/>
            </w:pPr>
            <w:r w:rsidRPr="0075796B">
              <w:t>3.1</w:t>
            </w:r>
            <w:r w:rsidRPr="0075796B">
              <w:tab/>
              <w:t>Maint</w:t>
            </w:r>
            <w:r w:rsidRPr="0075796B">
              <w:t>ain inventory of specialist and non-specialist mortuary equipment.</w:t>
            </w:r>
          </w:p>
          <w:p w:rsidR="00000000" w:rsidRPr="0075796B" w:rsidP="0075796B">
            <w:pPr>
              <w:pStyle w:val="List"/>
            </w:pPr>
            <w:r w:rsidRPr="0075796B">
              <w:t>3.2</w:t>
            </w:r>
            <w:r w:rsidRPr="0075796B">
              <w:tab/>
              <w:t>Conduct regular inspections of equipment and determine serviceability according to manufacturer guidelines.</w:t>
            </w:r>
          </w:p>
          <w:p w:rsidR="00000000" w:rsidRPr="0075796B" w:rsidP="0075796B">
            <w:pPr>
              <w:pStyle w:val="List"/>
            </w:pPr>
            <w:r w:rsidRPr="0075796B">
              <w:t>3.3</w:t>
            </w:r>
            <w:r w:rsidRPr="0075796B">
              <w:tab/>
              <w:t>Monitor equipment servicing schedules and arrange routine service and rep</w:t>
            </w:r>
            <w:r w:rsidRPr="0075796B">
              <w:t>airs as required.</w:t>
            </w:r>
          </w:p>
          <w:p w:rsidR="00000000" w:rsidRPr="0075796B" w:rsidP="0075796B">
            <w:pPr>
              <w:pStyle w:val="List"/>
            </w:pPr>
            <w:r w:rsidRPr="0075796B">
              <w:t>3.4</w:t>
            </w:r>
            <w:r w:rsidRPr="0075796B">
              <w:tab/>
              <w:t>Maintain equipment service or repair.</w:t>
            </w:r>
          </w:p>
          <w:p w:rsidR="00000000" w:rsidP="0075796B">
            <w:pPr>
              <w:pStyle w:val="List"/>
              <w:rPr>
                <w:lang w:val="en-NZ"/>
              </w:rPr>
            </w:pPr>
          </w:p>
        </w:tc>
      </w:tr>
      <w:tr w:rsidTr="000E1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96B">
            <w:pPr>
              <w:pStyle w:val="List"/>
              <w:rPr>
                <w:lang w:val="en-NZ"/>
              </w:rPr>
            </w:pPr>
            <w:r w:rsidRPr="0075796B">
              <w:t>4.</w:t>
            </w:r>
            <w:r w:rsidRPr="0075796B">
              <w:tab/>
              <w:t>Release deceased persons to other relevant agencies.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96B" w:rsidP="0075796B">
            <w:pPr>
              <w:pStyle w:val="List"/>
            </w:pPr>
            <w:r w:rsidRPr="0075796B">
              <w:t>4.1</w:t>
            </w:r>
            <w:r w:rsidRPr="0075796B">
              <w:tab/>
              <w:t>Liaise with transfer and mortuary workers and other agency staff as required to determine arrangements for release of the deceased per</w:t>
            </w:r>
            <w:r w:rsidRPr="0075796B">
              <w:t>son to relevant agency.</w:t>
            </w:r>
          </w:p>
          <w:p w:rsidR="00000000" w:rsidRPr="0075796B" w:rsidP="0075796B">
            <w:pPr>
              <w:pStyle w:val="List"/>
            </w:pPr>
            <w:r w:rsidRPr="0075796B">
              <w:t>4.2</w:t>
            </w:r>
            <w:r w:rsidRPr="0075796B">
              <w:tab/>
              <w:t>Complete required release documentation and processes.</w:t>
            </w:r>
          </w:p>
          <w:p w:rsidR="00000000" w:rsidRPr="0075796B" w:rsidP="0075796B">
            <w:pPr>
              <w:pStyle w:val="List"/>
            </w:pPr>
            <w:r w:rsidRPr="0075796B">
              <w:t>4.3</w:t>
            </w:r>
            <w:r w:rsidRPr="0075796B">
              <w:tab/>
              <w:t>Remove the deceased person from mortuary at appointed time, checking identification tag.</w:t>
            </w:r>
          </w:p>
          <w:p w:rsidR="00000000" w:rsidRPr="0075796B" w:rsidP="0075796B">
            <w:pPr>
              <w:pStyle w:val="List"/>
            </w:pPr>
          </w:p>
        </w:tc>
      </w:tr>
    </w:tbl>
    <w:p w:rsidR="00000000" w:rsidRPr="0075796B" w:rsidP="0075796B">
      <w:pPr>
        <w:pStyle w:val="BodyText"/>
      </w:pPr>
    </w:p>
    <w:p w:rsidR="00000000" w:rsidRPr="0075796B" w:rsidP="0075796B">
      <w:pPr>
        <w:pStyle w:val="AllowPageBreak"/>
      </w:pPr>
    </w:p>
    <w:p w:rsidR="00000000" w:rsidRPr="0075796B" w:rsidP="0075796B">
      <w:pPr>
        <w:pStyle w:val="Heading1"/>
      </w:pPr>
      <w:bookmarkStart w:id="6" w:name="O_571690"/>
      <w:bookmarkEnd w:id="6"/>
      <w:r w:rsidRPr="0075796B">
        <w:t>Foundation Skills</w:t>
      </w:r>
    </w:p>
    <w:p w:rsidR="000E123E" w:rsidP="000E123E">
      <w:pPr>
        <w:pStyle w:val="BodyText"/>
      </w:pPr>
      <w:r w:rsidRPr="0075796B">
        <w:t>This section describes those language, lit</w:t>
      </w:r>
      <w:r w:rsidRPr="0075796B">
        <w:t>eracy, numeracy and employment skills that are essential to performance.</w:t>
      </w:r>
    </w:p>
    <w:p w:rsidR="00000000" w:rsidRPr="0075796B" w:rsidP="000E123E">
      <w:pPr>
        <w:pStyle w:val="BodyText"/>
      </w:pPr>
      <w:r w:rsidRPr="0075796B">
        <w:t>Foundation skills essential to performance are explicit in the performance criteria of this unit of competency.</w:t>
      </w:r>
    </w:p>
    <w:p w:rsidR="00000000" w:rsidRPr="0075796B" w:rsidP="0075796B">
      <w:pPr>
        <w:pStyle w:val="Heading1"/>
      </w:pPr>
      <w:bookmarkStart w:id="7" w:name="O_571692"/>
      <w:bookmarkEnd w:id="7"/>
      <w:r w:rsidRPr="0075796B">
        <w:t>Unit Mapping Information</w:t>
      </w:r>
    </w:p>
    <w:p w:rsidR="00000000" w:rsidRPr="0075796B" w:rsidP="000E123E">
      <w:pPr>
        <w:pStyle w:val="BodyText"/>
      </w:pPr>
      <w:r w:rsidRPr="0075796B">
        <w:t>SIFMWK004B Coordinate mortuary operations.</w:t>
      </w:r>
    </w:p>
    <w:p w:rsidR="00000000" w:rsidRPr="0075796B" w:rsidP="0075796B">
      <w:pPr>
        <w:pStyle w:val="Heading1"/>
      </w:pPr>
      <w:bookmarkStart w:id="8" w:name="O_571700"/>
      <w:bookmarkEnd w:id="8"/>
      <w:r w:rsidRPr="0075796B">
        <w:t>Links</w:t>
      </w:r>
    </w:p>
    <w:p w:rsidR="00000000" w:rsidRPr="0075796B" w:rsidP="000E123E">
      <w:pPr>
        <w:pStyle w:val="BodyText"/>
      </w:pPr>
      <w:r w:rsidRPr="007579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BA67E5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75796B" w:rsidP="0075796B"/>
    <w:sectPr w:rsidSect="007579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9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96B" w:rsidRPr="000E123E" w:rsidP="000E12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9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3E" w:rsidP="007579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23E" w:rsidP="007579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E123E" w:rsidP="007579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9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796B" w:rsidRPr="000E123E" w:rsidP="000E12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9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3E" w:rsidRPr="002D2AF8" w:rsidP="007579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SIFEMWK004 Coordinate mortuary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0E123E" w:rsidP="007579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9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79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9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9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9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9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9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9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9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9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9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96B"/>
  </w:style>
  <w:style w:type="character" w:customStyle="1" w:styleId="Heading1Char">
    <w:name w:val="Heading 1 Char"/>
    <w:basedOn w:val="DefaultParagraphFont"/>
    <w:link w:val="Heading1"/>
    <w:rsid w:val="007579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79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9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796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5796B"/>
    <w:rPr>
      <w:b/>
      <w:spacing w:val="0"/>
    </w:rPr>
  </w:style>
  <w:style w:type="paragraph" w:customStyle="1" w:styleId="SuperHeading">
    <w:name w:val="SuperHeading"/>
    <w:basedOn w:val="Normal"/>
    <w:rsid w:val="007579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79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79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79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79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7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79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79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9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9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9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9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79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9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79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9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96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579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79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79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9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9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79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79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9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79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9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79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9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9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9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9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796B"/>
    <w:rPr>
      <w:i/>
    </w:rPr>
  </w:style>
  <w:style w:type="paragraph" w:styleId="Caption">
    <w:name w:val="caption"/>
    <w:basedOn w:val="BodyText"/>
    <w:next w:val="Normal"/>
    <w:qFormat/>
    <w:rsid w:val="007579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9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9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96B"/>
  </w:style>
  <w:style w:type="paragraph" w:styleId="TableofFigures">
    <w:name w:val="table of figures"/>
    <w:basedOn w:val="Normal"/>
    <w:next w:val="Normal"/>
    <w:semiHidden/>
    <w:rsid w:val="007579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9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796B"/>
    <w:rPr>
      <w:rFonts w:ascii="Wingdings" w:hAnsi="Wingdings"/>
    </w:rPr>
  </w:style>
  <w:style w:type="paragraph" w:customStyle="1" w:styleId="TableHeading">
    <w:name w:val="Table Heading"/>
    <w:basedOn w:val="HeadingBase"/>
    <w:rsid w:val="007579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96B"/>
    <w:rPr>
      <w:color w:val="0033CC"/>
      <w:u w:val="none"/>
    </w:rPr>
  </w:style>
  <w:style w:type="paragraph" w:customStyle="1" w:styleId="BodyTextRight">
    <w:name w:val="Body Text Right"/>
    <w:basedOn w:val="BodyText"/>
    <w:rsid w:val="007579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9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9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9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9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9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796B"/>
    <w:rPr>
      <w:sz w:val="32"/>
    </w:rPr>
  </w:style>
  <w:style w:type="paragraph" w:customStyle="1" w:styleId="HeadingProcedure">
    <w:name w:val="Heading Procedure"/>
    <w:basedOn w:val="HeadingBase"/>
    <w:next w:val="Normal"/>
    <w:rsid w:val="007579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96B"/>
    <w:pPr>
      <w:spacing w:before="60" w:after="60"/>
    </w:pPr>
  </w:style>
  <w:style w:type="paragraph" w:styleId="ListContinue">
    <w:name w:val="List Continue"/>
    <w:basedOn w:val="List"/>
    <w:rsid w:val="0075796B"/>
    <w:pPr>
      <w:ind w:firstLine="0"/>
    </w:pPr>
  </w:style>
  <w:style w:type="paragraph" w:customStyle="1" w:styleId="ListNote">
    <w:name w:val="List Note"/>
    <w:basedOn w:val="List"/>
    <w:rsid w:val="007579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9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9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96B"/>
    <w:rPr>
      <w:rFonts w:ascii="Courier New" w:hAnsi="Courier New"/>
    </w:rPr>
  </w:style>
  <w:style w:type="paragraph" w:customStyle="1" w:styleId="NoteBullet">
    <w:name w:val="Note Bullet"/>
    <w:basedOn w:val="Note"/>
    <w:rsid w:val="007579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9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9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9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9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79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9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796B"/>
    <w:rPr>
      <w:b/>
      <w:smallCaps/>
    </w:rPr>
  </w:style>
  <w:style w:type="paragraph" w:customStyle="1" w:styleId="TableListNumber">
    <w:name w:val="Table List Number"/>
    <w:basedOn w:val="ListNumber"/>
    <w:rsid w:val="007579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9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96B"/>
    <w:pPr>
      <w:numPr>
        <w:numId w:val="7"/>
      </w:numPr>
    </w:pPr>
  </w:style>
  <w:style w:type="paragraph" w:customStyle="1" w:styleId="ListAlpha2">
    <w:name w:val="List Alpha 2"/>
    <w:basedOn w:val="List2"/>
    <w:rsid w:val="0075796B"/>
    <w:pPr>
      <w:numPr>
        <w:numId w:val="6"/>
      </w:numPr>
    </w:pPr>
  </w:style>
  <w:style w:type="paragraph" w:styleId="List2">
    <w:name w:val="List 2"/>
    <w:basedOn w:val="BodyText"/>
    <w:rsid w:val="007579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9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9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9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79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79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796B"/>
    <w:pPr>
      <w:numPr>
        <w:numId w:val="2"/>
      </w:numPr>
    </w:pPr>
  </w:style>
  <w:style w:type="paragraph" w:styleId="ListContinue2">
    <w:name w:val="List Continue 2"/>
    <w:basedOn w:val="List2"/>
    <w:rsid w:val="0075796B"/>
    <w:pPr>
      <w:ind w:firstLine="0"/>
    </w:pPr>
  </w:style>
  <w:style w:type="paragraph" w:styleId="ListContinue3">
    <w:name w:val="List Continue 3"/>
    <w:basedOn w:val="List3"/>
    <w:rsid w:val="0075796B"/>
    <w:pPr>
      <w:ind w:left="1021" w:firstLine="0"/>
    </w:pPr>
  </w:style>
  <w:style w:type="paragraph" w:styleId="ListContinue4">
    <w:name w:val="List Continue 4"/>
    <w:basedOn w:val="List4"/>
    <w:rsid w:val="0075796B"/>
    <w:pPr>
      <w:ind w:firstLine="0"/>
    </w:pPr>
  </w:style>
  <w:style w:type="paragraph" w:styleId="ListContinue5">
    <w:name w:val="List Continue 5"/>
    <w:basedOn w:val="List5"/>
    <w:rsid w:val="0075796B"/>
    <w:pPr>
      <w:ind w:firstLine="0"/>
    </w:pPr>
  </w:style>
  <w:style w:type="paragraph" w:styleId="ListNumber3">
    <w:name w:val="List Number 3"/>
    <w:basedOn w:val="List3"/>
    <w:rsid w:val="0075796B"/>
    <w:pPr>
      <w:numPr>
        <w:numId w:val="3"/>
      </w:numPr>
    </w:pPr>
  </w:style>
  <w:style w:type="paragraph" w:styleId="ListNumber4">
    <w:name w:val="List Number 4"/>
    <w:basedOn w:val="List4"/>
    <w:rsid w:val="0075796B"/>
    <w:pPr>
      <w:numPr>
        <w:numId w:val="4"/>
      </w:numPr>
    </w:pPr>
  </w:style>
  <w:style w:type="paragraph" w:styleId="ListNumber5">
    <w:name w:val="List Number 5"/>
    <w:basedOn w:val="List5"/>
    <w:rsid w:val="0075796B"/>
    <w:pPr>
      <w:numPr>
        <w:numId w:val="5"/>
      </w:numPr>
    </w:pPr>
  </w:style>
  <w:style w:type="paragraph" w:styleId="BlockText">
    <w:name w:val="Block Text"/>
    <w:basedOn w:val="Normal"/>
    <w:rsid w:val="007579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9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96B"/>
    <w:rPr>
      <w:sz w:val="16"/>
      <w:vertAlign w:val="superscript"/>
    </w:rPr>
  </w:style>
  <w:style w:type="character" w:customStyle="1" w:styleId="Symbols">
    <w:name w:val="Symbols"/>
    <w:basedOn w:val="DefaultParagraphFont"/>
    <w:rsid w:val="0075796B"/>
    <w:rPr>
      <w:rFonts w:ascii="Symbol" w:hAnsi="Symbol"/>
    </w:rPr>
  </w:style>
  <w:style w:type="character" w:customStyle="1" w:styleId="MenuOptions">
    <w:name w:val="Menu Options"/>
    <w:basedOn w:val="DefaultParagraphFont"/>
    <w:rsid w:val="007579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96B"/>
    <w:rPr>
      <w:b/>
    </w:rPr>
  </w:style>
  <w:style w:type="character" w:customStyle="1" w:styleId="Underlined">
    <w:name w:val="Underlined"/>
    <w:basedOn w:val="DefaultParagraphFont"/>
    <w:rsid w:val="0075796B"/>
    <w:rPr>
      <w:u w:val="single"/>
    </w:rPr>
  </w:style>
  <w:style w:type="paragraph" w:customStyle="1" w:styleId="TableBodyTextRight">
    <w:name w:val="Table Body Text Right"/>
    <w:basedOn w:val="TableBodyText"/>
    <w:rsid w:val="007579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96B"/>
    <w:rPr>
      <w:sz w:val="18"/>
    </w:rPr>
  </w:style>
  <w:style w:type="paragraph" w:customStyle="1" w:styleId="BodySmallRight">
    <w:name w:val="Body Small Right"/>
    <w:basedOn w:val="BodyTextRight"/>
    <w:rsid w:val="0075796B"/>
    <w:rPr>
      <w:sz w:val="18"/>
      <w:szCs w:val="18"/>
    </w:rPr>
  </w:style>
  <w:style w:type="paragraph" w:customStyle="1" w:styleId="MarginEdition">
    <w:name w:val="Margin Edition"/>
    <w:basedOn w:val="MarginNote"/>
    <w:rsid w:val="007579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96B"/>
    <w:rPr>
      <w:sz w:val="2"/>
      <w:szCs w:val="2"/>
    </w:rPr>
  </w:style>
  <w:style w:type="character" w:customStyle="1" w:styleId="Small">
    <w:name w:val="Small"/>
    <w:basedOn w:val="DefaultParagraphFont"/>
    <w:rsid w:val="0075796B"/>
    <w:rPr>
      <w:sz w:val="16"/>
    </w:rPr>
  </w:style>
  <w:style w:type="paragraph" w:customStyle="1" w:styleId="WideTable">
    <w:name w:val="Wide Table"/>
    <w:basedOn w:val="Normal"/>
    <w:rsid w:val="007579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96B"/>
  </w:style>
  <w:style w:type="paragraph" w:styleId="Quote">
    <w:name w:val="Quote"/>
    <w:basedOn w:val="Heading1"/>
    <w:link w:val="QuoteChar"/>
    <w:qFormat/>
    <w:rsid w:val="007579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9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96B"/>
    <w:pPr>
      <w:pageBreakBefore/>
    </w:pPr>
  </w:style>
  <w:style w:type="paragraph" w:customStyle="1" w:styleId="Border">
    <w:name w:val="Border"/>
    <w:basedOn w:val="Normal"/>
    <w:qFormat/>
    <w:rsid w:val="007579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9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9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9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79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9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9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9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9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96B"/>
    <w:rPr>
      <w:u w:val="single"/>
    </w:rPr>
  </w:style>
  <w:style w:type="character" w:customStyle="1" w:styleId="BoldandItalics">
    <w:name w:val="Bold and Italics"/>
    <w:qFormat/>
    <w:rsid w:val="0075796B"/>
    <w:rPr>
      <w:b/>
      <w:i/>
      <w:u w:val="none"/>
    </w:rPr>
  </w:style>
  <w:style w:type="paragraph" w:styleId="BalloonText">
    <w:name w:val="Balloon Text"/>
    <w:basedOn w:val="Normal"/>
    <w:link w:val="BalloonTextChar"/>
    <w:rsid w:val="00757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9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79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9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79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79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796B"/>
    <w:pPr>
      <w:spacing w:before="0" w:after="0"/>
    </w:pPr>
  </w:style>
  <w:style w:type="paragraph" w:customStyle="1" w:styleId="BodyTextBold">
    <w:name w:val="Body Text Bold"/>
    <w:basedOn w:val="BodyText"/>
    <w:qFormat/>
    <w:rsid w:val="0075796B"/>
    <w:rPr>
      <w:b/>
    </w:rPr>
  </w:style>
  <w:style w:type="character" w:styleId="Hyperlink">
    <w:name w:val="Hyperlink"/>
    <w:basedOn w:val="DefaultParagraphFont"/>
    <w:uiPriority w:val="99"/>
    <w:unhideWhenUsed/>
    <w:rsid w:val="000E12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373</Words>
  <Characters>2490</Characters>
  <Application>Microsoft Office Word</Application>
  <DocSecurity>0</DocSecurity>
  <Lines>92</Lines>
  <Paragraphs>52</Paragraphs>
  <ScaleCrop>false</ScaleCrop>
  <Company>Author-it Software Corporation Ltd.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SIFEMWK004 Coordinate mortuary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2022-04-04T01:33:00Z</dcterms:created>
  <dcterms:modified xsi:type="dcterms:W3CDTF">2022-04-04T01:33:00Z</dcterms:modified>
</cp:coreProperties>
</file>