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363" w:rsidP="007253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SIFEMWK003 Determine body preparation requirements</w:t>
      </w:r>
      <w:r>
        <w:fldChar w:fldCharType="end"/>
      </w:r>
    </w:p>
    <w:p w:rsidR="00725363" w:rsidP="00725363">
      <w:pPr>
        <w:pStyle w:val="Version"/>
        <w:sectPr w:rsidSect="00FE26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26A2" w:rsidP="00FE26A2">
      <w:pPr>
        <w:pStyle w:val="SuperHeading"/>
      </w:pPr>
      <w:r w:rsidRPr="00FE26A2">
        <w:t>Assessment Requirements for SIFEMWK003 Determine body preparation requirements</w:t>
      </w:r>
    </w:p>
    <w:p w:rsidR="00000000" w:rsidRPr="00FE26A2" w:rsidP="00FE26A2">
      <w:pPr>
        <w:pStyle w:val="Heading1"/>
      </w:pPr>
      <w:bookmarkStart w:id="1" w:name="O_571674"/>
      <w:bookmarkEnd w:id="1"/>
      <w:r w:rsidRPr="00FE26A2">
        <w:t>Modification History</w:t>
      </w:r>
    </w:p>
    <w:p w:rsidR="00000000" w:rsidRPr="00FE26A2" w:rsidP="00725363">
      <w:pPr>
        <w:pStyle w:val="BodyText"/>
      </w:pPr>
      <w:r w:rsidRPr="00FE26A2">
        <w:t>Not applicable.</w:t>
      </w:r>
    </w:p>
    <w:p w:rsidR="00000000" w:rsidRPr="00FE26A2" w:rsidP="00FE26A2">
      <w:pPr>
        <w:pStyle w:val="Heading1"/>
      </w:pPr>
      <w:bookmarkStart w:id="2" w:name="O_571675"/>
      <w:bookmarkEnd w:id="2"/>
      <w:r w:rsidRPr="00FE26A2">
        <w:t>Performance Evidence</w:t>
      </w:r>
    </w:p>
    <w:p w:rsidR="00000000" w:rsidRPr="00FE26A2" w:rsidP="00725363">
      <w:pPr>
        <w:pStyle w:val="BodyText"/>
      </w:pPr>
      <w:r w:rsidRPr="00FE26A2">
        <w:t>Evidence of the ability to:</w:t>
      </w:r>
    </w:p>
    <w:p w:rsidR="00000000" w:rsidRPr="00FE26A2" w:rsidP="00FE26A2">
      <w:pPr>
        <w:pStyle w:val="ListBullet"/>
      </w:pPr>
      <w:r w:rsidRPr="00FE26A2">
        <w:t>complete documentation requirements prior to undertaking body preparation</w:t>
      </w:r>
    </w:p>
    <w:p w:rsidR="00000000" w:rsidRPr="00FE26A2" w:rsidP="00FE26A2">
      <w:pPr>
        <w:pStyle w:val="ListBullet"/>
      </w:pPr>
      <w:r w:rsidRPr="00FE26A2">
        <w:t>identify general body preparation requirements for each case and prepare the mortuary and required instruments accordingly.</w:t>
      </w:r>
    </w:p>
    <w:p w:rsidR="00000000" w:rsidRPr="00FE26A2" w:rsidP="00FE26A2">
      <w:pPr>
        <w:pStyle w:val="BodyText"/>
      </w:pPr>
    </w:p>
    <w:p w:rsidR="00000000" w:rsidRPr="00FE26A2" w:rsidP="00725363">
      <w:pPr>
        <w:pStyle w:val="BodyText"/>
      </w:pPr>
      <w:r w:rsidRPr="00FE26A2">
        <w:t>Evidence of performance of determining body preparation r</w:t>
      </w:r>
      <w:r w:rsidRPr="00FE26A2">
        <w:t>equirements of different cases on two or more occasions is required to demonstrate consistency of performance and ability to respond to different situations.</w:t>
      </w:r>
    </w:p>
    <w:p w:rsidR="00000000" w:rsidRPr="00FE26A2" w:rsidP="00FE26A2">
      <w:pPr>
        <w:pStyle w:val="Heading1"/>
      </w:pPr>
      <w:bookmarkStart w:id="3" w:name="O_571676"/>
      <w:bookmarkEnd w:id="3"/>
      <w:r w:rsidRPr="00FE26A2">
        <w:t>Knowledge Evidence</w:t>
      </w:r>
    </w:p>
    <w:p w:rsidR="00000000" w:rsidRPr="00FE26A2" w:rsidP="00725363">
      <w:pPr>
        <w:pStyle w:val="BodyText"/>
      </w:pPr>
      <w:r w:rsidRPr="00FE26A2">
        <w:t>Demonstrated knowledge of:</w:t>
      </w:r>
    </w:p>
    <w:p w:rsidR="00000000" w:rsidRPr="00FE26A2" w:rsidP="00FE26A2">
      <w:pPr>
        <w:pStyle w:val="ListBullet"/>
      </w:pPr>
      <w:r w:rsidRPr="00FE26A2">
        <w:t>documentation used for determining</w:t>
      </w:r>
      <w:r w:rsidRPr="00FE26A2">
        <w:t xml:space="preserve"> body preparation requirements, including but not restricted to:</w:t>
      </w:r>
    </w:p>
    <w:p w:rsidR="00000000" w:rsidRPr="00FE26A2" w:rsidP="00FE26A2">
      <w:pPr>
        <w:pStyle w:val="ListBullet2"/>
      </w:pPr>
      <w:r w:rsidRPr="00FE26A2">
        <w:t>authorisation for basic mortuary preparation and embalming</w:t>
      </w:r>
    </w:p>
    <w:p w:rsidR="00000000" w:rsidRPr="00FE26A2" w:rsidP="00FE26A2">
      <w:pPr>
        <w:pStyle w:val="ListBullet2"/>
      </w:pPr>
      <w:r w:rsidRPr="00FE26A2">
        <w:t>signed medical certificate</w:t>
      </w:r>
    </w:p>
    <w:p w:rsidR="00000000" w:rsidRPr="00FE26A2" w:rsidP="00FE26A2">
      <w:pPr>
        <w:pStyle w:val="ListBullet2"/>
      </w:pPr>
      <w:r w:rsidRPr="00FE26A2">
        <w:t>waterproof identification tag fixed securely to body</w:t>
      </w:r>
    </w:p>
    <w:p w:rsidR="00000000" w:rsidRPr="00FE26A2" w:rsidP="00FE26A2">
      <w:pPr>
        <w:pStyle w:val="ListBullet2"/>
      </w:pPr>
      <w:r w:rsidRPr="00FE26A2">
        <w:t>list of personal property, including clothing and shoes for dressing the deceased</w:t>
      </w:r>
    </w:p>
    <w:p w:rsidR="00000000" w:rsidRPr="00FE26A2" w:rsidP="00FE26A2">
      <w:pPr>
        <w:pStyle w:val="ListBullet2"/>
      </w:pPr>
      <w:r w:rsidRPr="00FE26A2">
        <w:t>receipts for jewellery and other valuables</w:t>
      </w:r>
    </w:p>
    <w:p w:rsidR="00000000" w:rsidRPr="00FE26A2" w:rsidP="00FE26A2">
      <w:pPr>
        <w:pStyle w:val="ListBullet2"/>
      </w:pPr>
      <w:r w:rsidRPr="00FE26A2">
        <w:t>special instructions for body preparation and presentation</w:t>
      </w:r>
    </w:p>
    <w:p w:rsidR="00000000" w:rsidRPr="00FE26A2" w:rsidP="00FE26A2">
      <w:pPr>
        <w:pStyle w:val="ListBullet2"/>
      </w:pPr>
      <w:r w:rsidRPr="00FE26A2">
        <w:t>schedule for viewing or funeral booking</w:t>
      </w:r>
    </w:p>
    <w:p w:rsidR="00000000" w:rsidRPr="00FE26A2" w:rsidP="00FE26A2">
      <w:pPr>
        <w:pStyle w:val="ListBullet"/>
      </w:pPr>
      <w:r w:rsidRPr="00FE26A2">
        <w:t xml:space="preserve">level of body preparation that </w:t>
      </w:r>
      <w:r w:rsidRPr="00FE26A2">
        <w:t>may be required, including:</w:t>
      </w:r>
    </w:p>
    <w:p w:rsidR="00000000" w:rsidRPr="00FE26A2" w:rsidP="00FE26A2">
      <w:pPr>
        <w:pStyle w:val="ListBullet2"/>
      </w:pPr>
      <w:r w:rsidRPr="00FE26A2">
        <w:t>basic cleansing and disinfecting</w:t>
      </w:r>
    </w:p>
    <w:p w:rsidR="00000000" w:rsidRPr="00FE26A2" w:rsidP="00FE26A2">
      <w:pPr>
        <w:pStyle w:val="ListBullet2"/>
      </w:pPr>
      <w:r w:rsidRPr="00FE26A2">
        <w:t>basic preparation for viewing by family</w:t>
      </w:r>
    </w:p>
    <w:p w:rsidR="00000000" w:rsidRPr="00FE26A2" w:rsidP="00FE26A2">
      <w:pPr>
        <w:pStyle w:val="ListBullet2"/>
      </w:pPr>
      <w:r w:rsidRPr="00FE26A2">
        <w:t>temporary restoration and preservation of autopsied bodies</w:t>
      </w:r>
    </w:p>
    <w:p w:rsidR="00000000" w:rsidRPr="00FE26A2" w:rsidP="00FE26A2">
      <w:pPr>
        <w:pStyle w:val="ListBullet2"/>
      </w:pPr>
      <w:r w:rsidRPr="00FE26A2">
        <w:t>temporary restoration and preservation of autopsied or non-autopsied bodies</w:t>
      </w:r>
    </w:p>
    <w:p w:rsidR="00000000" w:rsidRPr="00FE26A2" w:rsidP="00FE26A2">
      <w:pPr>
        <w:pStyle w:val="ListBullet2"/>
      </w:pPr>
      <w:r w:rsidRPr="00FE26A2">
        <w:t>permanent restorati</w:t>
      </w:r>
      <w:r w:rsidRPr="00FE26A2">
        <w:t>on and preservation of autopsied or non autopsied bodies for repatriation</w:t>
      </w:r>
    </w:p>
    <w:p w:rsidR="00000000" w:rsidRPr="00FE26A2" w:rsidP="00FE26A2">
      <w:pPr>
        <w:pStyle w:val="ListBullet"/>
      </w:pPr>
      <w:r w:rsidRPr="00FE26A2">
        <w:t>social, cultural and religious requirements in relation to body preparation requirements, including but not restricted to:</w:t>
      </w:r>
    </w:p>
    <w:p w:rsidR="00000000" w:rsidRPr="00FE26A2" w:rsidP="00FE26A2">
      <w:pPr>
        <w:pStyle w:val="ListBullet2"/>
      </w:pPr>
      <w:r w:rsidRPr="00FE26A2">
        <w:t xml:space="preserve">funeral and mourning dress standards </w:t>
      </w:r>
    </w:p>
    <w:p w:rsidR="00000000" w:rsidRPr="00FE26A2" w:rsidP="00FE26A2">
      <w:pPr>
        <w:pStyle w:val="ListBullet2"/>
      </w:pPr>
      <w:r w:rsidRPr="00FE26A2">
        <w:t>gender of body prep</w:t>
      </w:r>
      <w:r w:rsidRPr="00FE26A2">
        <w:t>aration personnel</w:t>
      </w:r>
    </w:p>
    <w:p w:rsidR="00000000" w:rsidRPr="00FE26A2" w:rsidP="00FE26A2">
      <w:pPr>
        <w:pStyle w:val="ListBullet2"/>
      </w:pPr>
      <w:r w:rsidRPr="00FE26A2">
        <w:t>time required between death and burial or cremation</w:t>
      </w:r>
    </w:p>
    <w:p w:rsidR="00000000" w:rsidRPr="00FE26A2" w:rsidP="00FE26A2">
      <w:pPr>
        <w:pStyle w:val="ListBullet2"/>
      </w:pPr>
      <w:r w:rsidRPr="00FE26A2">
        <w:t>orientation of the deceased person</w:t>
      </w:r>
    </w:p>
    <w:p w:rsidR="00000000" w:rsidRPr="00FE26A2" w:rsidP="00FE26A2">
      <w:pPr>
        <w:pStyle w:val="ListBullet2"/>
      </w:pPr>
      <w:r w:rsidRPr="00FE26A2">
        <w:t>methods of permissible body preparation</w:t>
      </w:r>
    </w:p>
    <w:p w:rsidR="00000000" w:rsidRPr="00FE26A2" w:rsidP="00FE26A2">
      <w:pPr>
        <w:pStyle w:val="ListBullet"/>
      </w:pPr>
      <w:r w:rsidRPr="00FE26A2">
        <w:t>mortuary instruments, apparatus and materials required for preparing the mortuary room</w:t>
      </w:r>
    </w:p>
    <w:p w:rsidR="00000000" w:rsidRPr="00FE26A2" w:rsidP="00FE26A2">
      <w:pPr>
        <w:pStyle w:val="ListBullet"/>
      </w:pPr>
      <w:r w:rsidRPr="00FE26A2">
        <w:t>workplace policies and procedures for use and preparation of mortuary facilities, instruments, apparatus and materials</w:t>
      </w:r>
    </w:p>
    <w:p w:rsidR="00000000" w:rsidRPr="00FE26A2" w:rsidP="00FE26A2">
      <w:pPr>
        <w:pStyle w:val="ListBullet"/>
      </w:pPr>
      <w:r w:rsidRPr="00FE26A2">
        <w:t xml:space="preserve">requirements for preparing the mortuary facility </w:t>
      </w:r>
    </w:p>
    <w:p w:rsidR="00000000" w:rsidRPr="00FE26A2" w:rsidP="00FE26A2">
      <w:pPr>
        <w:pStyle w:val="ListBullet"/>
      </w:pPr>
      <w:r w:rsidRPr="00FE26A2">
        <w:t>funeral services industry parameters and protocols for dealing with the deceased, inclu</w:t>
      </w:r>
      <w:r w:rsidRPr="00FE26A2">
        <w:t>ding social cultural and religious requirements considerations</w:t>
      </w:r>
    </w:p>
    <w:p w:rsidR="00000000" w:rsidRPr="00FE26A2" w:rsidP="00FE26A2">
      <w:pPr>
        <w:pStyle w:val="ListBullet"/>
      </w:pPr>
      <w:r w:rsidRPr="00FE26A2">
        <w:t>federal, state or territory, and local government legislation and regulations relevant to safe performance of body preparation procedures.</w:t>
      </w:r>
    </w:p>
    <w:p w:rsidR="00000000" w:rsidRPr="00FE26A2" w:rsidP="00FE26A2">
      <w:pPr>
        <w:pStyle w:val="AllowPageBreak"/>
      </w:pPr>
    </w:p>
    <w:p w:rsidR="00000000" w:rsidRPr="00FE26A2" w:rsidP="00FE26A2">
      <w:pPr>
        <w:pStyle w:val="Heading1"/>
      </w:pPr>
      <w:bookmarkStart w:id="4" w:name="O_571677"/>
      <w:bookmarkEnd w:id="4"/>
      <w:r w:rsidRPr="00FE26A2">
        <w:t>Assessment Conditions</w:t>
      </w:r>
    </w:p>
    <w:p w:rsidR="00000000" w:rsidRPr="00FE26A2" w:rsidP="00725363">
      <w:pPr>
        <w:pStyle w:val="BodyText"/>
      </w:pPr>
      <w:r w:rsidRPr="00FE26A2">
        <w:t xml:space="preserve">Skills must be </w:t>
      </w:r>
      <w:r w:rsidRPr="00FE26A2">
        <w:t>demonstrated in a mortuary workplace:</w:t>
      </w:r>
    </w:p>
    <w:p w:rsidR="00000000" w:rsidRPr="00FE26A2" w:rsidP="00FE26A2">
      <w:pPr>
        <w:pStyle w:val="ListBullet"/>
      </w:pPr>
      <w:r w:rsidRPr="00FE26A2">
        <w:t>using suitable equipment and resources, including:</w:t>
      </w:r>
    </w:p>
    <w:p w:rsidR="00000000" w:rsidRPr="00FE26A2" w:rsidP="00FE26A2">
      <w:pPr>
        <w:pStyle w:val="ListBullet2"/>
      </w:pPr>
      <w:r w:rsidRPr="00FE26A2">
        <w:t>body preparation tools, apparatus and materials and personal protective equipment</w:t>
      </w:r>
    </w:p>
    <w:p w:rsidR="00000000" w:rsidRPr="00FE26A2" w:rsidP="00FE26A2">
      <w:pPr>
        <w:pStyle w:val="ListBullet2"/>
      </w:pPr>
      <w:r w:rsidRPr="00FE26A2">
        <w:t xml:space="preserve">documentations that includes authorisations, medical certificates, identification, </w:t>
      </w:r>
      <w:r w:rsidRPr="00FE26A2">
        <w:t>instructions and receipts</w:t>
      </w:r>
    </w:p>
    <w:p w:rsidR="00000000" w:rsidRPr="00FE26A2" w:rsidP="00FE26A2">
      <w:pPr>
        <w:pStyle w:val="ListBullet2"/>
      </w:pPr>
      <w:r w:rsidRPr="00FE26A2">
        <w:t xml:space="preserve">mortuary items and equipment </w:t>
      </w:r>
    </w:p>
    <w:p w:rsidR="00000000" w:rsidRPr="00FE26A2" w:rsidP="00FE26A2">
      <w:pPr>
        <w:pStyle w:val="ListBullet"/>
      </w:pPr>
      <w:r w:rsidRPr="00FE26A2">
        <w:t>under industry operating conditions where there is:</w:t>
      </w:r>
    </w:p>
    <w:p w:rsidR="00000000" w:rsidRPr="00FE26A2" w:rsidP="00FE26A2">
      <w:pPr>
        <w:pStyle w:val="ListBullet2"/>
      </w:pPr>
      <w:r w:rsidRPr="00FE26A2">
        <w:t xml:space="preserve">integration of tasks with possible interruptions to work typical of the job role </w:t>
      </w:r>
    </w:p>
    <w:p w:rsidR="00000000" w:rsidRPr="00FE26A2" w:rsidP="00FE26A2">
      <w:pPr>
        <w:pStyle w:val="ListBullet2"/>
      </w:pPr>
      <w:r w:rsidRPr="00FE26A2">
        <w:t xml:space="preserve">speed and timing requirements that reflect commercial operating </w:t>
      </w:r>
      <w:r w:rsidRPr="00FE26A2">
        <w:t xml:space="preserve">conditions </w:t>
      </w:r>
    </w:p>
    <w:p w:rsidR="00000000" w:rsidRPr="00FE26A2" w:rsidP="00FE26A2">
      <w:pPr>
        <w:pStyle w:val="ListBullet2"/>
      </w:pPr>
      <w:r w:rsidRPr="00FE26A2">
        <w:t>interaction with relevant personnel and family</w:t>
      </w:r>
    </w:p>
    <w:p w:rsidR="00000000" w:rsidRPr="00FE26A2" w:rsidP="00FE26A2">
      <w:pPr>
        <w:pStyle w:val="BodyText"/>
      </w:pPr>
    </w:p>
    <w:p w:rsidR="00000000" w:rsidRPr="00FE26A2" w:rsidP="00725363">
      <w:pPr>
        <w:pStyle w:val="BodyText"/>
      </w:pPr>
      <w:r w:rsidRPr="00FE26A2">
        <w:t>Assessors must satisfy the NVR/AQTF mandatory competency requirements for assessors.</w:t>
      </w:r>
    </w:p>
    <w:p w:rsidR="00000000" w:rsidRPr="00FE26A2" w:rsidP="00FE26A2">
      <w:pPr>
        <w:pStyle w:val="Heading1"/>
      </w:pPr>
      <w:bookmarkStart w:id="5" w:name="O_571679"/>
      <w:bookmarkEnd w:id="5"/>
      <w:r w:rsidRPr="00FE26A2">
        <w:t>Links</w:t>
      </w:r>
    </w:p>
    <w:p w:rsidR="00000000" w:rsidRPr="00FE26A2" w:rsidP="00725363">
      <w:pPr>
        <w:pStyle w:val="BodyText"/>
      </w:pPr>
      <w:r w:rsidRPr="00FE26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C45BB5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FE26A2" w:rsidP="00FE26A2"/>
    <w:sectPr w:rsidSect="00FE26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6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6A2" w:rsidRPr="00725363" w:rsidP="007253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6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363" w:rsidP="00FE26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5363" w:rsidP="00FE26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25363" w:rsidP="00FE26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6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3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26A2" w:rsidRPr="00725363" w:rsidP="007253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6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363" w:rsidRPr="002D2AF8" w:rsidP="00FE26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SIFEMWK003 Determine body preparation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725363" w:rsidP="00FE26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9098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5CF6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40F2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6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26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26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26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26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26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26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26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26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26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26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26A2"/>
  </w:style>
  <w:style w:type="character" w:customStyle="1" w:styleId="Heading1Char">
    <w:name w:val="Heading 1 Char"/>
    <w:basedOn w:val="DefaultParagraphFont"/>
    <w:link w:val="Heading1"/>
    <w:rsid w:val="00FE26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26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26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26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26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26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26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26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26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26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2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2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2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2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26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26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26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26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26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26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26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26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26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26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26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26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26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26A2"/>
    <w:rPr>
      <w:b/>
      <w:spacing w:val="0"/>
    </w:rPr>
  </w:style>
  <w:style w:type="paragraph" w:customStyle="1" w:styleId="SuperTitle">
    <w:name w:val="SuperTitle"/>
    <w:basedOn w:val="Title"/>
    <w:rsid w:val="00FE26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26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26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26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26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26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26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26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26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26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26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26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26A2"/>
    <w:rPr>
      <w:i/>
    </w:rPr>
  </w:style>
  <w:style w:type="paragraph" w:styleId="Caption">
    <w:name w:val="caption"/>
    <w:basedOn w:val="BodyText"/>
    <w:next w:val="Normal"/>
    <w:qFormat/>
    <w:rsid w:val="00FE26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26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26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26A2"/>
  </w:style>
  <w:style w:type="paragraph" w:styleId="TableofFigures">
    <w:name w:val="table of figures"/>
    <w:basedOn w:val="Normal"/>
    <w:next w:val="Normal"/>
    <w:semiHidden/>
    <w:rsid w:val="00FE26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26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26A2"/>
    <w:rPr>
      <w:rFonts w:ascii="Wingdings" w:hAnsi="Wingdings"/>
    </w:rPr>
  </w:style>
  <w:style w:type="paragraph" w:customStyle="1" w:styleId="TableHeading">
    <w:name w:val="Table Heading"/>
    <w:basedOn w:val="HeadingBase"/>
    <w:rsid w:val="00FE26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26A2"/>
    <w:rPr>
      <w:color w:val="0033CC"/>
      <w:u w:val="none"/>
    </w:rPr>
  </w:style>
  <w:style w:type="paragraph" w:customStyle="1" w:styleId="BodyTextRight">
    <w:name w:val="Body Text Right"/>
    <w:basedOn w:val="BodyText"/>
    <w:rsid w:val="00FE26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26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26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26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26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26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26A2"/>
    <w:rPr>
      <w:sz w:val="32"/>
    </w:rPr>
  </w:style>
  <w:style w:type="paragraph" w:customStyle="1" w:styleId="HeadingProcedure">
    <w:name w:val="Heading Procedure"/>
    <w:basedOn w:val="HeadingBase"/>
    <w:next w:val="Normal"/>
    <w:rsid w:val="00FE26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26A2"/>
    <w:pPr>
      <w:spacing w:before="60" w:after="60"/>
    </w:pPr>
  </w:style>
  <w:style w:type="paragraph" w:styleId="ListContinue">
    <w:name w:val="List Continue"/>
    <w:basedOn w:val="List"/>
    <w:rsid w:val="00FE26A2"/>
    <w:pPr>
      <w:ind w:firstLine="0"/>
    </w:pPr>
  </w:style>
  <w:style w:type="paragraph" w:customStyle="1" w:styleId="ListNote">
    <w:name w:val="List Note"/>
    <w:basedOn w:val="List"/>
    <w:rsid w:val="00FE26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26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26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26A2"/>
    <w:rPr>
      <w:rFonts w:ascii="Courier New" w:hAnsi="Courier New"/>
    </w:rPr>
  </w:style>
  <w:style w:type="paragraph" w:customStyle="1" w:styleId="NoteBullet">
    <w:name w:val="Note Bullet"/>
    <w:basedOn w:val="Note"/>
    <w:rsid w:val="00FE26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26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26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26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26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26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26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26A2"/>
    <w:rPr>
      <w:b/>
      <w:smallCaps/>
    </w:rPr>
  </w:style>
  <w:style w:type="paragraph" w:customStyle="1" w:styleId="TableListNumber">
    <w:name w:val="Table List Number"/>
    <w:basedOn w:val="ListNumber"/>
    <w:rsid w:val="00FE26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26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26A2"/>
    <w:pPr>
      <w:numPr>
        <w:numId w:val="9"/>
      </w:numPr>
    </w:pPr>
  </w:style>
  <w:style w:type="paragraph" w:customStyle="1" w:styleId="ListAlpha2">
    <w:name w:val="List Alpha 2"/>
    <w:basedOn w:val="List2"/>
    <w:rsid w:val="00FE26A2"/>
    <w:pPr>
      <w:numPr>
        <w:numId w:val="8"/>
      </w:numPr>
    </w:pPr>
  </w:style>
  <w:style w:type="paragraph" w:styleId="List2">
    <w:name w:val="List 2"/>
    <w:basedOn w:val="BodyText"/>
    <w:rsid w:val="00FE26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26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26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26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26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26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26A2"/>
    <w:pPr>
      <w:numPr>
        <w:numId w:val="4"/>
      </w:numPr>
    </w:pPr>
  </w:style>
  <w:style w:type="paragraph" w:styleId="ListContinue2">
    <w:name w:val="List Continue 2"/>
    <w:basedOn w:val="List2"/>
    <w:rsid w:val="00FE26A2"/>
    <w:pPr>
      <w:ind w:firstLine="0"/>
    </w:pPr>
  </w:style>
  <w:style w:type="paragraph" w:styleId="ListContinue3">
    <w:name w:val="List Continue 3"/>
    <w:basedOn w:val="List3"/>
    <w:rsid w:val="00FE26A2"/>
    <w:pPr>
      <w:ind w:left="1021" w:firstLine="0"/>
    </w:pPr>
  </w:style>
  <w:style w:type="paragraph" w:styleId="ListContinue4">
    <w:name w:val="List Continue 4"/>
    <w:basedOn w:val="List4"/>
    <w:rsid w:val="00FE26A2"/>
    <w:pPr>
      <w:ind w:firstLine="0"/>
    </w:pPr>
  </w:style>
  <w:style w:type="paragraph" w:styleId="ListContinue5">
    <w:name w:val="List Continue 5"/>
    <w:basedOn w:val="List5"/>
    <w:rsid w:val="00FE26A2"/>
    <w:pPr>
      <w:ind w:firstLine="0"/>
    </w:pPr>
  </w:style>
  <w:style w:type="paragraph" w:styleId="ListNumber3">
    <w:name w:val="List Number 3"/>
    <w:basedOn w:val="List3"/>
    <w:rsid w:val="00FE26A2"/>
    <w:pPr>
      <w:numPr>
        <w:numId w:val="5"/>
      </w:numPr>
    </w:pPr>
  </w:style>
  <w:style w:type="paragraph" w:styleId="ListNumber4">
    <w:name w:val="List Number 4"/>
    <w:basedOn w:val="List4"/>
    <w:rsid w:val="00FE26A2"/>
    <w:pPr>
      <w:numPr>
        <w:numId w:val="6"/>
      </w:numPr>
    </w:pPr>
  </w:style>
  <w:style w:type="paragraph" w:styleId="ListNumber5">
    <w:name w:val="List Number 5"/>
    <w:basedOn w:val="List5"/>
    <w:rsid w:val="00FE26A2"/>
    <w:pPr>
      <w:numPr>
        <w:numId w:val="7"/>
      </w:numPr>
    </w:pPr>
  </w:style>
  <w:style w:type="paragraph" w:styleId="BlockText">
    <w:name w:val="Block Text"/>
    <w:basedOn w:val="Normal"/>
    <w:rsid w:val="00FE26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26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26A2"/>
    <w:rPr>
      <w:sz w:val="16"/>
      <w:vertAlign w:val="superscript"/>
    </w:rPr>
  </w:style>
  <w:style w:type="character" w:customStyle="1" w:styleId="Symbols">
    <w:name w:val="Symbols"/>
    <w:basedOn w:val="DefaultParagraphFont"/>
    <w:rsid w:val="00FE26A2"/>
    <w:rPr>
      <w:rFonts w:ascii="Symbol" w:hAnsi="Symbol"/>
    </w:rPr>
  </w:style>
  <w:style w:type="character" w:customStyle="1" w:styleId="MenuOptions">
    <w:name w:val="Menu Options"/>
    <w:basedOn w:val="DefaultParagraphFont"/>
    <w:rsid w:val="00FE26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26A2"/>
    <w:rPr>
      <w:b/>
    </w:rPr>
  </w:style>
  <w:style w:type="character" w:customStyle="1" w:styleId="Underlined">
    <w:name w:val="Underlined"/>
    <w:basedOn w:val="DefaultParagraphFont"/>
    <w:rsid w:val="00FE26A2"/>
    <w:rPr>
      <w:u w:val="single"/>
    </w:rPr>
  </w:style>
  <w:style w:type="paragraph" w:customStyle="1" w:styleId="TableBodyTextRight">
    <w:name w:val="Table Body Text Right"/>
    <w:basedOn w:val="TableBodyText"/>
    <w:rsid w:val="00FE26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26A2"/>
    <w:rPr>
      <w:sz w:val="18"/>
    </w:rPr>
  </w:style>
  <w:style w:type="paragraph" w:customStyle="1" w:styleId="BodySmallRight">
    <w:name w:val="Body Small Right"/>
    <w:basedOn w:val="BodyTextRight"/>
    <w:rsid w:val="00FE26A2"/>
    <w:rPr>
      <w:sz w:val="18"/>
      <w:szCs w:val="18"/>
    </w:rPr>
  </w:style>
  <w:style w:type="paragraph" w:customStyle="1" w:styleId="MarginEdition">
    <w:name w:val="Margin Edition"/>
    <w:basedOn w:val="MarginNote"/>
    <w:rsid w:val="00FE26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26A2"/>
    <w:rPr>
      <w:sz w:val="2"/>
      <w:szCs w:val="2"/>
    </w:rPr>
  </w:style>
  <w:style w:type="character" w:customStyle="1" w:styleId="Small">
    <w:name w:val="Small"/>
    <w:basedOn w:val="DefaultParagraphFont"/>
    <w:rsid w:val="00FE26A2"/>
    <w:rPr>
      <w:sz w:val="16"/>
    </w:rPr>
  </w:style>
  <w:style w:type="paragraph" w:customStyle="1" w:styleId="WideTable">
    <w:name w:val="Wide Table"/>
    <w:basedOn w:val="Normal"/>
    <w:rsid w:val="00FE26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26A2"/>
  </w:style>
  <w:style w:type="paragraph" w:styleId="Quote">
    <w:name w:val="Quote"/>
    <w:basedOn w:val="Heading1"/>
    <w:link w:val="QuoteChar"/>
    <w:qFormat/>
    <w:rsid w:val="00FE26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26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26A2"/>
    <w:pPr>
      <w:pageBreakBefore/>
    </w:pPr>
  </w:style>
  <w:style w:type="paragraph" w:customStyle="1" w:styleId="Border">
    <w:name w:val="Border"/>
    <w:basedOn w:val="Normal"/>
    <w:qFormat/>
    <w:rsid w:val="00FE26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26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6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6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26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26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26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26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26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26A2"/>
    <w:rPr>
      <w:u w:val="single"/>
    </w:rPr>
  </w:style>
  <w:style w:type="character" w:customStyle="1" w:styleId="BoldandItalics">
    <w:name w:val="Bold and Italics"/>
    <w:qFormat/>
    <w:rsid w:val="00FE26A2"/>
    <w:rPr>
      <w:b/>
      <w:i/>
      <w:u w:val="none"/>
    </w:rPr>
  </w:style>
  <w:style w:type="paragraph" w:styleId="BalloonText">
    <w:name w:val="Balloon Text"/>
    <w:basedOn w:val="Normal"/>
    <w:link w:val="BalloonTextChar"/>
    <w:rsid w:val="00FE2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6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26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26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26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26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26A2"/>
    <w:pPr>
      <w:spacing w:before="0" w:after="0"/>
    </w:pPr>
  </w:style>
  <w:style w:type="paragraph" w:customStyle="1" w:styleId="BodyTextBold">
    <w:name w:val="Body Text Bold"/>
    <w:basedOn w:val="BodyText"/>
    <w:qFormat/>
    <w:rsid w:val="00FE26A2"/>
    <w:rPr>
      <w:b/>
    </w:rPr>
  </w:style>
  <w:style w:type="character" w:styleId="Hyperlink">
    <w:name w:val="Hyperlink"/>
    <w:basedOn w:val="DefaultParagraphFont"/>
    <w:uiPriority w:val="99"/>
    <w:unhideWhenUsed/>
    <w:rsid w:val="007253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3001</Characters>
  <Application>Microsoft Office Word</Application>
  <DocSecurity>0</DocSecurity>
  <Lines>75</Lines>
  <Paragraphs>58</Paragraphs>
  <ScaleCrop>false</ScaleCrop>
  <Company>Author-it Software Corporation Ltd.</Company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SIFEMWK003 Determine body preparation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2022-04-04T01:29:00Z</dcterms:created>
  <dcterms:modified xsi:type="dcterms:W3CDTF">2022-04-04T01:29:00Z</dcterms:modified>
</cp:coreProperties>
</file>