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769" w:rsidP="00CD3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SIFEMWK001 Encoffin deceased persons</w:t>
      </w:r>
      <w:r>
        <w:fldChar w:fldCharType="end"/>
      </w:r>
    </w:p>
    <w:p w:rsidR="00CD3769" w:rsidP="00CD3769">
      <w:pPr>
        <w:pStyle w:val="Version"/>
        <w:sectPr w:rsidSect="00B94B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B21" w:rsidP="00B94B21">
      <w:pPr>
        <w:pStyle w:val="SuperHeading"/>
      </w:pPr>
      <w:r w:rsidRPr="00B94B21">
        <w:t>Assessment Requirements for SIFEMWK001 Encoffin deceased persons</w:t>
      </w:r>
    </w:p>
    <w:p w:rsidR="00000000" w:rsidRPr="00B94B21" w:rsidP="00B94B21">
      <w:pPr>
        <w:pStyle w:val="Heading1"/>
      </w:pPr>
      <w:bookmarkStart w:id="1" w:name="O_571636"/>
      <w:bookmarkEnd w:id="1"/>
      <w:r w:rsidRPr="00B94B21">
        <w:t>Modification History</w:t>
      </w:r>
    </w:p>
    <w:p w:rsidR="00000000" w:rsidRPr="00B94B21" w:rsidP="00CD3769">
      <w:pPr>
        <w:pStyle w:val="BodyText"/>
      </w:pPr>
      <w:r w:rsidRPr="00B94B21">
        <w:t>Not applicable.</w:t>
      </w:r>
    </w:p>
    <w:p w:rsidR="00000000" w:rsidRPr="00B94B21" w:rsidP="00B94B21">
      <w:pPr>
        <w:pStyle w:val="Heading1"/>
      </w:pPr>
      <w:bookmarkStart w:id="2" w:name="O_571637"/>
      <w:bookmarkEnd w:id="2"/>
      <w:r w:rsidRPr="00B94B21">
        <w:t>Performance Evidence</w:t>
      </w:r>
    </w:p>
    <w:p w:rsidR="00000000" w:rsidRPr="00B94B21" w:rsidP="00CD3769">
      <w:pPr>
        <w:pStyle w:val="BodyText"/>
      </w:pPr>
      <w:r w:rsidRPr="00B94B21">
        <w:t>Evidence of the ability to:</w:t>
      </w:r>
    </w:p>
    <w:p w:rsidR="00000000" w:rsidRPr="00B94B21" w:rsidP="00B94B21">
      <w:pPr>
        <w:pStyle w:val="ListBullet"/>
      </w:pPr>
      <w:r w:rsidRPr="00B94B21">
        <w:t>identify and correctly encoffin a deceased person safely and appropriately according to work health and safety/occupational health and safety procedures and work instructions</w:t>
      </w:r>
    </w:p>
    <w:p w:rsidR="00000000" w:rsidRPr="00B94B21" w:rsidP="00B94B21">
      <w:pPr>
        <w:pStyle w:val="ListBullet"/>
      </w:pPr>
      <w:r w:rsidRPr="00B94B21">
        <w:t>apply safe manual handling techniques in lifting the deceased.</w:t>
      </w:r>
    </w:p>
    <w:p w:rsidR="00000000" w:rsidRPr="00B94B21" w:rsidP="00B94B21">
      <w:pPr>
        <w:pStyle w:val="BodyText"/>
      </w:pPr>
    </w:p>
    <w:p w:rsidR="00000000" w:rsidRPr="00B94B21" w:rsidP="00CD3769">
      <w:pPr>
        <w:pStyle w:val="BodyText"/>
      </w:pPr>
      <w:r w:rsidRPr="00B94B21">
        <w:t>Evidence of perfo</w:t>
      </w:r>
      <w:r w:rsidRPr="00B94B21">
        <w:t>rmance of encoffining deceased persons on two or more occasions is required to demonstrate consistency of performance and ability to respond to different situations.</w:t>
      </w:r>
    </w:p>
    <w:p w:rsidR="00000000" w:rsidRPr="00B94B21" w:rsidP="00B94B21">
      <w:pPr>
        <w:pStyle w:val="Heading1"/>
      </w:pPr>
      <w:bookmarkStart w:id="3" w:name="O_571638"/>
      <w:bookmarkEnd w:id="3"/>
      <w:r w:rsidRPr="00B94B21">
        <w:t>Knowledge Evidence</w:t>
      </w:r>
    </w:p>
    <w:p w:rsidR="00000000" w:rsidRPr="00B94B21" w:rsidP="00CD3769">
      <w:pPr>
        <w:pStyle w:val="BodyText"/>
      </w:pPr>
      <w:r w:rsidRPr="00B94B21">
        <w:t>Demonstrated knowledge of:</w:t>
      </w:r>
    </w:p>
    <w:p w:rsidR="00000000" w:rsidRPr="00B94B21" w:rsidP="00B94B21">
      <w:pPr>
        <w:pStyle w:val="ListBullet"/>
      </w:pPr>
      <w:r w:rsidRPr="00B94B21">
        <w:t xml:space="preserve">instruments and equipment </w:t>
      </w:r>
      <w:r w:rsidRPr="00B94B21">
        <w:t>used for encoffining deceased persons, including mechanical and manual lifting devices</w:t>
      </w:r>
    </w:p>
    <w:p w:rsidR="00000000" w:rsidRPr="00B94B21" w:rsidP="00B94B21">
      <w:pPr>
        <w:pStyle w:val="ListBullet"/>
      </w:pPr>
      <w:r w:rsidRPr="00B94B21">
        <w:t>use and maintenance of personal protective equipment</w:t>
      </w:r>
    </w:p>
    <w:p w:rsidR="00000000" w:rsidRPr="00B94B21" w:rsidP="00B94B21">
      <w:pPr>
        <w:pStyle w:val="ListBullet"/>
      </w:pPr>
      <w:r w:rsidRPr="00B94B21">
        <w:t>considerations required for encoffining, including:</w:t>
      </w:r>
    </w:p>
    <w:p w:rsidR="00000000" w:rsidRPr="00B94B21" w:rsidP="00B94B21">
      <w:pPr>
        <w:pStyle w:val="ListBullet2"/>
      </w:pPr>
      <w:r w:rsidRPr="00B94B21">
        <w:t>general body condition</w:t>
      </w:r>
    </w:p>
    <w:p w:rsidR="00000000" w:rsidRPr="00B94B21" w:rsidP="00B94B21">
      <w:pPr>
        <w:pStyle w:val="ListBullet2"/>
      </w:pPr>
      <w:r w:rsidRPr="00B94B21">
        <w:t>type of coffin or casket</w:t>
      </w:r>
    </w:p>
    <w:p w:rsidR="00000000" w:rsidRPr="00B94B21" w:rsidP="00B94B21">
      <w:pPr>
        <w:pStyle w:val="ListBullet2"/>
      </w:pPr>
      <w:r w:rsidRPr="00B94B21">
        <w:t>size and weight of the deceased person</w:t>
      </w:r>
    </w:p>
    <w:p w:rsidR="00000000" w:rsidRPr="00B94B21" w:rsidP="00B94B21">
      <w:pPr>
        <w:pStyle w:val="ListBullet2"/>
      </w:pPr>
      <w:r w:rsidRPr="00B94B21">
        <w:t>place of viewing</w:t>
      </w:r>
    </w:p>
    <w:p w:rsidR="00000000" w:rsidRPr="00B94B21" w:rsidP="00B94B21">
      <w:pPr>
        <w:pStyle w:val="ListBullet2"/>
      </w:pPr>
      <w:r w:rsidRPr="00B94B21">
        <w:t>full body or partial viewing</w:t>
      </w:r>
    </w:p>
    <w:p w:rsidR="00000000" w:rsidRPr="00B94B21" w:rsidP="00B94B21">
      <w:pPr>
        <w:pStyle w:val="ListBullet2"/>
      </w:pPr>
      <w:r w:rsidRPr="00B94B21">
        <w:t xml:space="preserve">social, cultural and religious requirements </w:t>
      </w:r>
    </w:p>
    <w:p w:rsidR="00000000" w:rsidRPr="00B94B21" w:rsidP="00B94B21">
      <w:pPr>
        <w:pStyle w:val="ListBullet"/>
      </w:pPr>
      <w:r w:rsidRPr="00B94B21">
        <w:t>manual handling procedures for the following:</w:t>
      </w:r>
    </w:p>
    <w:p w:rsidR="00000000" w:rsidRPr="00B94B21" w:rsidP="00B94B21">
      <w:pPr>
        <w:pStyle w:val="ListBullet2"/>
      </w:pPr>
      <w:r w:rsidRPr="00B94B21">
        <w:t>single person lift</w:t>
      </w:r>
    </w:p>
    <w:p w:rsidR="00000000" w:rsidRPr="00B94B21" w:rsidP="00B94B21">
      <w:pPr>
        <w:pStyle w:val="ListBullet2"/>
      </w:pPr>
      <w:r w:rsidRPr="00B94B21">
        <w:t>multiple person lift</w:t>
      </w:r>
    </w:p>
    <w:p w:rsidR="00000000" w:rsidRPr="00B94B21" w:rsidP="00B94B21">
      <w:pPr>
        <w:pStyle w:val="ListBullet2"/>
      </w:pPr>
      <w:r w:rsidRPr="00B94B21">
        <w:t>assisted with mechanical lifting devic</w:t>
      </w:r>
      <w:r w:rsidRPr="00B94B21">
        <w:t>e</w:t>
      </w:r>
    </w:p>
    <w:p w:rsidR="00000000" w:rsidRPr="00B94B21" w:rsidP="00B94B21">
      <w:pPr>
        <w:pStyle w:val="ListBullet2"/>
      </w:pPr>
      <w:r w:rsidRPr="00B94B21">
        <w:t>assisted with manual lifting device</w:t>
      </w:r>
    </w:p>
    <w:p w:rsidR="00000000" w:rsidRPr="00B94B21" w:rsidP="00B94B21">
      <w:pPr>
        <w:pStyle w:val="ListBullet"/>
      </w:pPr>
      <w:r w:rsidRPr="00B94B21">
        <w:t>federal, state or territory, and local government legislation and regulations that impact on encoffining deceased persons including work health and safety/occupational health and safety, infection control and handling</w:t>
      </w:r>
      <w:r w:rsidRPr="00B94B21">
        <w:t xml:space="preserve"> human remains</w:t>
      </w:r>
    </w:p>
    <w:p w:rsidR="00000000" w:rsidRPr="00B94B21" w:rsidP="00B94B21">
      <w:pPr>
        <w:pStyle w:val="ListBullet"/>
      </w:pPr>
      <w:r w:rsidRPr="00B94B21">
        <w:t>workplace policies and procedures in regard to encoffining deceased persons</w:t>
      </w:r>
    </w:p>
    <w:p w:rsidR="00000000" w:rsidRPr="00B94B21" w:rsidP="00B94B21">
      <w:pPr>
        <w:pStyle w:val="ListBullet"/>
      </w:pPr>
      <w:r w:rsidRPr="00B94B21">
        <w:t>funeral services industry parameters and protocols when dealing with the deceased.</w:t>
      </w:r>
    </w:p>
    <w:p w:rsidR="00000000" w:rsidRPr="00B94B21" w:rsidP="00B94B21">
      <w:pPr>
        <w:pStyle w:val="AllowPageBreak"/>
      </w:pPr>
    </w:p>
    <w:p w:rsidR="00000000" w:rsidRPr="00B94B21" w:rsidP="00B94B21">
      <w:pPr>
        <w:pStyle w:val="Heading1"/>
      </w:pPr>
      <w:bookmarkStart w:id="4" w:name="O_571639"/>
      <w:bookmarkEnd w:id="4"/>
      <w:r w:rsidRPr="00B94B21">
        <w:t>Assessment Conditions</w:t>
      </w:r>
    </w:p>
    <w:p w:rsidR="00000000" w:rsidRPr="00B94B21" w:rsidP="00CD3769">
      <w:pPr>
        <w:pStyle w:val="BodyText"/>
      </w:pPr>
      <w:r w:rsidRPr="00B94B21">
        <w:t>Skills must be demonstrated in a funeral home or mortuary workplace:</w:t>
      </w:r>
    </w:p>
    <w:p w:rsidR="00000000" w:rsidRPr="00B94B21" w:rsidP="00B94B21">
      <w:pPr>
        <w:pStyle w:val="ListBullet"/>
      </w:pPr>
      <w:r w:rsidRPr="00B94B21">
        <w:t>using suitable equipment and resources, including:</w:t>
      </w:r>
    </w:p>
    <w:p w:rsidR="00000000" w:rsidRPr="00B94B21" w:rsidP="00B94B21">
      <w:pPr>
        <w:pStyle w:val="ListBullet2"/>
      </w:pPr>
      <w:r w:rsidRPr="00B94B21">
        <w:t>deceased bodies</w:t>
      </w:r>
    </w:p>
    <w:p w:rsidR="00000000" w:rsidRPr="00B94B21" w:rsidP="00B94B21">
      <w:pPr>
        <w:pStyle w:val="ListBullet2"/>
      </w:pPr>
      <w:r w:rsidRPr="00B94B21">
        <w:t>coffins and caskets, encoffining equipment and personal protective equipment</w:t>
      </w:r>
    </w:p>
    <w:p w:rsidR="00000000" w:rsidRPr="00B94B21" w:rsidP="00B94B21">
      <w:pPr>
        <w:pStyle w:val="ListBullet"/>
      </w:pPr>
      <w:r w:rsidRPr="00B94B21">
        <w:t>under industry operating conditions wher</w:t>
      </w:r>
      <w:r w:rsidRPr="00B94B21">
        <w:t>e there is:</w:t>
      </w:r>
    </w:p>
    <w:p w:rsidR="00000000" w:rsidRPr="00B94B21" w:rsidP="00B94B21">
      <w:pPr>
        <w:pStyle w:val="ListBullet2"/>
      </w:pPr>
      <w:r w:rsidRPr="00B94B21">
        <w:t xml:space="preserve">integration of tasks with possible interruptions to work typical of the job role </w:t>
      </w:r>
    </w:p>
    <w:p w:rsidR="00000000" w:rsidRPr="00B94B21" w:rsidP="00B94B21">
      <w:pPr>
        <w:pStyle w:val="ListBullet2"/>
      </w:pPr>
      <w:r w:rsidRPr="00B94B21">
        <w:t xml:space="preserve">speed and timing requirements that reflect commercial operating conditions </w:t>
      </w:r>
    </w:p>
    <w:p w:rsidR="00000000" w:rsidRPr="00B94B21" w:rsidP="00B94B21">
      <w:pPr>
        <w:pStyle w:val="BodyText"/>
      </w:pPr>
    </w:p>
    <w:p w:rsidR="00000000" w:rsidRPr="00B94B21" w:rsidP="00CD3769">
      <w:pPr>
        <w:pStyle w:val="BodyText"/>
      </w:pPr>
      <w:r w:rsidRPr="00B94B21">
        <w:t>Assessors must satisfy the NVR/AQTF mandatory competency requirements for assessors.</w:t>
      </w:r>
    </w:p>
    <w:p w:rsidR="00000000" w:rsidRPr="00B94B21" w:rsidP="00B94B21">
      <w:pPr>
        <w:pStyle w:val="Heading1"/>
      </w:pPr>
      <w:bookmarkStart w:id="5" w:name="O_571641"/>
      <w:bookmarkEnd w:id="5"/>
      <w:r w:rsidRPr="00B94B21">
        <w:t>Links</w:t>
      </w:r>
    </w:p>
    <w:p w:rsidR="00000000" w:rsidRPr="00B94B21" w:rsidP="00CD3769">
      <w:pPr>
        <w:pStyle w:val="BodyText"/>
      </w:pPr>
      <w:r w:rsidRPr="00B94B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0D6913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B94B21" w:rsidP="00B94B21"/>
    <w:sectPr w:rsidSect="00B94B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21" w:rsidRPr="00CD3769" w:rsidP="00CD3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69" w:rsidP="00B94B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D3769" w:rsidP="00B94B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3769" w:rsidP="00B94B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B21" w:rsidRPr="00CD3769" w:rsidP="00CD3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B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69" w:rsidRPr="002D2AF8" w:rsidP="00B94B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SIFEMWK001 Encoffin deceased persons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CD3769" w:rsidP="00B94B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FEDA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00E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4C0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B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B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B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B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B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B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B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B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B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B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B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B21"/>
  </w:style>
  <w:style w:type="character" w:customStyle="1" w:styleId="Heading1Char">
    <w:name w:val="Heading 1 Char"/>
    <w:basedOn w:val="DefaultParagraphFont"/>
    <w:link w:val="Heading1"/>
    <w:rsid w:val="00B94B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B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B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B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4B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4B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B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4B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B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B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B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B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B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B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B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B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B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B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B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B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B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B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B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B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B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4B21"/>
    <w:rPr>
      <w:b/>
      <w:spacing w:val="0"/>
    </w:rPr>
  </w:style>
  <w:style w:type="paragraph" w:customStyle="1" w:styleId="SuperTitle">
    <w:name w:val="SuperTitle"/>
    <w:basedOn w:val="Title"/>
    <w:rsid w:val="00B94B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B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B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B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B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B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B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B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B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B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B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B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B21"/>
    <w:rPr>
      <w:i/>
    </w:rPr>
  </w:style>
  <w:style w:type="paragraph" w:styleId="Caption">
    <w:name w:val="caption"/>
    <w:basedOn w:val="BodyText"/>
    <w:next w:val="Normal"/>
    <w:qFormat/>
    <w:rsid w:val="00B94B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B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B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B21"/>
  </w:style>
  <w:style w:type="paragraph" w:styleId="TableofFigures">
    <w:name w:val="table of figures"/>
    <w:basedOn w:val="Normal"/>
    <w:next w:val="Normal"/>
    <w:semiHidden/>
    <w:rsid w:val="00B94B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B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4B21"/>
    <w:rPr>
      <w:rFonts w:ascii="Wingdings" w:hAnsi="Wingdings"/>
    </w:rPr>
  </w:style>
  <w:style w:type="paragraph" w:customStyle="1" w:styleId="TableHeading">
    <w:name w:val="Table Heading"/>
    <w:basedOn w:val="HeadingBase"/>
    <w:rsid w:val="00B94B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B21"/>
    <w:rPr>
      <w:color w:val="0033CC"/>
      <w:u w:val="none"/>
    </w:rPr>
  </w:style>
  <w:style w:type="paragraph" w:customStyle="1" w:styleId="BodyTextRight">
    <w:name w:val="Body Text Right"/>
    <w:basedOn w:val="BodyText"/>
    <w:rsid w:val="00B94B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B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B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B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B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B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B21"/>
    <w:rPr>
      <w:sz w:val="32"/>
    </w:rPr>
  </w:style>
  <w:style w:type="paragraph" w:customStyle="1" w:styleId="HeadingProcedure">
    <w:name w:val="Heading Procedure"/>
    <w:basedOn w:val="HeadingBase"/>
    <w:next w:val="Normal"/>
    <w:rsid w:val="00B94B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B21"/>
    <w:pPr>
      <w:spacing w:before="60" w:after="60"/>
    </w:pPr>
  </w:style>
  <w:style w:type="paragraph" w:styleId="ListContinue">
    <w:name w:val="List Continue"/>
    <w:basedOn w:val="List"/>
    <w:rsid w:val="00B94B21"/>
    <w:pPr>
      <w:ind w:firstLine="0"/>
    </w:pPr>
  </w:style>
  <w:style w:type="paragraph" w:customStyle="1" w:styleId="ListNote">
    <w:name w:val="List Note"/>
    <w:basedOn w:val="List"/>
    <w:rsid w:val="00B94B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B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B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B21"/>
    <w:rPr>
      <w:rFonts w:ascii="Courier New" w:hAnsi="Courier New"/>
    </w:rPr>
  </w:style>
  <w:style w:type="paragraph" w:customStyle="1" w:styleId="NoteBullet">
    <w:name w:val="Note Bullet"/>
    <w:basedOn w:val="Note"/>
    <w:rsid w:val="00B94B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B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B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B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B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4B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B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B21"/>
    <w:rPr>
      <w:b/>
      <w:smallCaps/>
    </w:rPr>
  </w:style>
  <w:style w:type="paragraph" w:customStyle="1" w:styleId="TableListNumber">
    <w:name w:val="Table List Number"/>
    <w:basedOn w:val="ListNumber"/>
    <w:rsid w:val="00B94B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B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B21"/>
    <w:pPr>
      <w:numPr>
        <w:numId w:val="9"/>
      </w:numPr>
    </w:pPr>
  </w:style>
  <w:style w:type="paragraph" w:customStyle="1" w:styleId="ListAlpha2">
    <w:name w:val="List Alpha 2"/>
    <w:basedOn w:val="List2"/>
    <w:rsid w:val="00B94B21"/>
    <w:pPr>
      <w:numPr>
        <w:numId w:val="8"/>
      </w:numPr>
    </w:pPr>
  </w:style>
  <w:style w:type="paragraph" w:styleId="List2">
    <w:name w:val="List 2"/>
    <w:basedOn w:val="BodyText"/>
    <w:rsid w:val="00B94B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B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B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B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4B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4B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4B21"/>
    <w:pPr>
      <w:numPr>
        <w:numId w:val="4"/>
      </w:numPr>
    </w:pPr>
  </w:style>
  <w:style w:type="paragraph" w:styleId="ListContinue2">
    <w:name w:val="List Continue 2"/>
    <w:basedOn w:val="List2"/>
    <w:rsid w:val="00B94B21"/>
    <w:pPr>
      <w:ind w:firstLine="0"/>
    </w:pPr>
  </w:style>
  <w:style w:type="paragraph" w:styleId="ListContinue3">
    <w:name w:val="List Continue 3"/>
    <w:basedOn w:val="List3"/>
    <w:rsid w:val="00B94B21"/>
    <w:pPr>
      <w:ind w:left="1021" w:firstLine="0"/>
    </w:pPr>
  </w:style>
  <w:style w:type="paragraph" w:styleId="ListContinue4">
    <w:name w:val="List Continue 4"/>
    <w:basedOn w:val="List4"/>
    <w:rsid w:val="00B94B21"/>
    <w:pPr>
      <w:ind w:firstLine="0"/>
    </w:pPr>
  </w:style>
  <w:style w:type="paragraph" w:styleId="ListContinue5">
    <w:name w:val="List Continue 5"/>
    <w:basedOn w:val="List5"/>
    <w:rsid w:val="00B94B21"/>
    <w:pPr>
      <w:ind w:firstLine="0"/>
    </w:pPr>
  </w:style>
  <w:style w:type="paragraph" w:styleId="ListNumber3">
    <w:name w:val="List Number 3"/>
    <w:basedOn w:val="List3"/>
    <w:rsid w:val="00B94B21"/>
    <w:pPr>
      <w:numPr>
        <w:numId w:val="5"/>
      </w:numPr>
    </w:pPr>
  </w:style>
  <w:style w:type="paragraph" w:styleId="ListNumber4">
    <w:name w:val="List Number 4"/>
    <w:basedOn w:val="List4"/>
    <w:rsid w:val="00B94B21"/>
    <w:pPr>
      <w:numPr>
        <w:numId w:val="6"/>
      </w:numPr>
    </w:pPr>
  </w:style>
  <w:style w:type="paragraph" w:styleId="ListNumber5">
    <w:name w:val="List Number 5"/>
    <w:basedOn w:val="List5"/>
    <w:rsid w:val="00B94B21"/>
    <w:pPr>
      <w:numPr>
        <w:numId w:val="7"/>
      </w:numPr>
    </w:pPr>
  </w:style>
  <w:style w:type="paragraph" w:styleId="BlockText">
    <w:name w:val="Block Text"/>
    <w:basedOn w:val="Normal"/>
    <w:rsid w:val="00B94B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B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B21"/>
    <w:rPr>
      <w:sz w:val="16"/>
      <w:vertAlign w:val="superscript"/>
    </w:rPr>
  </w:style>
  <w:style w:type="character" w:customStyle="1" w:styleId="Symbols">
    <w:name w:val="Symbols"/>
    <w:basedOn w:val="DefaultParagraphFont"/>
    <w:rsid w:val="00B94B21"/>
    <w:rPr>
      <w:rFonts w:ascii="Symbol" w:hAnsi="Symbol"/>
    </w:rPr>
  </w:style>
  <w:style w:type="character" w:customStyle="1" w:styleId="MenuOptions">
    <w:name w:val="Menu Options"/>
    <w:basedOn w:val="DefaultParagraphFont"/>
    <w:rsid w:val="00B94B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B21"/>
    <w:rPr>
      <w:b/>
    </w:rPr>
  </w:style>
  <w:style w:type="character" w:customStyle="1" w:styleId="Underlined">
    <w:name w:val="Underlined"/>
    <w:basedOn w:val="DefaultParagraphFont"/>
    <w:rsid w:val="00B94B21"/>
    <w:rPr>
      <w:u w:val="single"/>
    </w:rPr>
  </w:style>
  <w:style w:type="paragraph" w:customStyle="1" w:styleId="TableBodyTextRight">
    <w:name w:val="Table Body Text Right"/>
    <w:basedOn w:val="TableBodyText"/>
    <w:rsid w:val="00B94B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B21"/>
    <w:rPr>
      <w:sz w:val="18"/>
    </w:rPr>
  </w:style>
  <w:style w:type="paragraph" w:customStyle="1" w:styleId="BodySmallRight">
    <w:name w:val="Body Small Right"/>
    <w:basedOn w:val="BodyTextRight"/>
    <w:rsid w:val="00B94B21"/>
    <w:rPr>
      <w:sz w:val="18"/>
      <w:szCs w:val="18"/>
    </w:rPr>
  </w:style>
  <w:style w:type="paragraph" w:customStyle="1" w:styleId="MarginEdition">
    <w:name w:val="Margin Edition"/>
    <w:basedOn w:val="MarginNote"/>
    <w:rsid w:val="00B94B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B21"/>
    <w:rPr>
      <w:sz w:val="2"/>
      <w:szCs w:val="2"/>
    </w:rPr>
  </w:style>
  <w:style w:type="character" w:customStyle="1" w:styleId="Small">
    <w:name w:val="Small"/>
    <w:basedOn w:val="DefaultParagraphFont"/>
    <w:rsid w:val="00B94B21"/>
    <w:rPr>
      <w:sz w:val="16"/>
    </w:rPr>
  </w:style>
  <w:style w:type="paragraph" w:customStyle="1" w:styleId="WideTable">
    <w:name w:val="Wide Table"/>
    <w:basedOn w:val="Normal"/>
    <w:rsid w:val="00B94B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B21"/>
  </w:style>
  <w:style w:type="paragraph" w:styleId="Quote">
    <w:name w:val="Quote"/>
    <w:basedOn w:val="Heading1"/>
    <w:link w:val="QuoteChar"/>
    <w:qFormat/>
    <w:rsid w:val="00B94B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B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B21"/>
    <w:pPr>
      <w:pageBreakBefore/>
    </w:pPr>
  </w:style>
  <w:style w:type="paragraph" w:customStyle="1" w:styleId="Border">
    <w:name w:val="Border"/>
    <w:basedOn w:val="Normal"/>
    <w:qFormat/>
    <w:rsid w:val="00B94B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B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B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B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B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B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B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B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B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B21"/>
    <w:rPr>
      <w:u w:val="single"/>
    </w:rPr>
  </w:style>
  <w:style w:type="character" w:customStyle="1" w:styleId="BoldandItalics">
    <w:name w:val="Bold and Italics"/>
    <w:qFormat/>
    <w:rsid w:val="00B94B21"/>
    <w:rPr>
      <w:b/>
      <w:i/>
      <w:u w:val="none"/>
    </w:rPr>
  </w:style>
  <w:style w:type="paragraph" w:styleId="BalloonText">
    <w:name w:val="Balloon Text"/>
    <w:basedOn w:val="Normal"/>
    <w:link w:val="BalloonTextChar"/>
    <w:rsid w:val="00B94B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B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B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B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B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B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B21"/>
    <w:pPr>
      <w:spacing w:before="0" w:after="0"/>
    </w:pPr>
  </w:style>
  <w:style w:type="paragraph" w:customStyle="1" w:styleId="BodyTextBold">
    <w:name w:val="Body Text Bold"/>
    <w:basedOn w:val="BodyText"/>
    <w:qFormat/>
    <w:rsid w:val="00B94B21"/>
    <w:rPr>
      <w:b/>
    </w:rPr>
  </w:style>
  <w:style w:type="character" w:styleId="Hyperlink">
    <w:name w:val="Hyperlink"/>
    <w:basedOn w:val="DefaultParagraphFont"/>
    <w:uiPriority w:val="99"/>
    <w:unhideWhenUsed/>
    <w:rsid w:val="00CD3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2183</Characters>
  <Application>Microsoft Office Word</Application>
  <DocSecurity>0</DocSecurity>
  <Lines>60</Lines>
  <Paragraphs>48</Paragraphs>
  <ScaleCrop>false</ScaleCrop>
  <Company>Author-it Software Corporation Ltd.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SIFEMWK001 Encoffin deceased persons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2022-04-04T01:31:00Z</dcterms:created>
  <dcterms:modified xsi:type="dcterms:W3CDTF">2022-04-04T01:31:00Z</dcterms:modified>
</cp:coreProperties>
</file>